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D9ED45" w14:textId="77777777" w:rsidR="00715663" w:rsidRDefault="00715663" w:rsidP="00715663">
      <w:pPr>
        <w:pStyle w:val="Title"/>
        <w:spacing w:after="100"/>
        <w:jc w:val="center"/>
      </w:pPr>
    </w:p>
    <w:p w14:paraId="543B2436" w14:textId="77777777" w:rsidR="00715663" w:rsidRDefault="00715663" w:rsidP="00715663">
      <w:pPr>
        <w:pStyle w:val="Title"/>
        <w:spacing w:after="100"/>
        <w:jc w:val="center"/>
      </w:pPr>
    </w:p>
    <w:p w14:paraId="34AE74BF" w14:textId="77777777" w:rsidR="00715663" w:rsidRDefault="00715663" w:rsidP="00715663">
      <w:pPr>
        <w:pStyle w:val="Title"/>
        <w:spacing w:after="100"/>
        <w:jc w:val="center"/>
      </w:pPr>
    </w:p>
    <w:p w14:paraId="555D8FE1" w14:textId="77777777" w:rsidR="00715663" w:rsidRDefault="00715663" w:rsidP="00715663">
      <w:pPr>
        <w:pStyle w:val="Title"/>
        <w:spacing w:after="100"/>
        <w:jc w:val="center"/>
      </w:pPr>
    </w:p>
    <w:p w14:paraId="310E973F" w14:textId="77777777" w:rsidR="00715663" w:rsidRDefault="00715663" w:rsidP="00715663">
      <w:pPr>
        <w:pStyle w:val="Title"/>
        <w:spacing w:after="100"/>
        <w:jc w:val="center"/>
      </w:pPr>
    </w:p>
    <w:p w14:paraId="31B4CA32" w14:textId="77777777" w:rsidR="00715663" w:rsidRDefault="00715663" w:rsidP="00715663">
      <w:pPr>
        <w:pStyle w:val="Title"/>
        <w:spacing w:after="100"/>
        <w:jc w:val="center"/>
      </w:pPr>
    </w:p>
    <w:p w14:paraId="76F78B1F" w14:textId="17CD153F" w:rsidR="009B3347" w:rsidRDefault="00000000" w:rsidP="00715663">
      <w:pPr>
        <w:pStyle w:val="Title"/>
        <w:spacing w:after="100"/>
        <w:jc w:val="center"/>
      </w:pPr>
      <w:r>
        <w:t>BYLAWS</w:t>
      </w:r>
    </w:p>
    <w:p w14:paraId="11A11E2C" w14:textId="77777777" w:rsidR="009B3347" w:rsidRDefault="00000000" w:rsidP="00715663">
      <w:pPr>
        <w:spacing w:after="100"/>
        <w:jc w:val="center"/>
      </w:pPr>
      <w:r>
        <w:t>OF THE</w:t>
      </w:r>
    </w:p>
    <w:p w14:paraId="6D0F45D7" w14:textId="77777777" w:rsidR="009B3347" w:rsidRDefault="00000000" w:rsidP="00715663">
      <w:pPr>
        <w:spacing w:after="300"/>
        <w:jc w:val="center"/>
      </w:pPr>
      <w:r>
        <w:rPr>
          <w:b/>
          <w:bCs/>
          <w:sz w:val="30"/>
          <w:szCs w:val="30"/>
        </w:rPr>
        <w:t>AMERICAN INSTITUTE FOR INFORMATION TECHNOLOGY &amp; ENGINEERING</w:t>
      </w:r>
    </w:p>
    <w:p w14:paraId="7DF72A5C" w14:textId="77777777" w:rsidR="009B3347" w:rsidRDefault="00000000" w:rsidP="00715663">
      <w:pPr>
        <w:spacing w:after="300"/>
        <w:jc w:val="center"/>
      </w:pPr>
      <w:r>
        <w:rPr>
          <w:i/>
          <w:iCs/>
        </w:rPr>
        <w:t>("AIITE" or the "Institute")</w:t>
      </w:r>
    </w:p>
    <w:p w14:paraId="0E2102C9" w14:textId="06815BCB" w:rsidR="009B3347" w:rsidRDefault="00000000" w:rsidP="00715663">
      <w:pPr>
        <w:spacing w:after="600"/>
        <w:jc w:val="center"/>
      </w:pPr>
      <w:r>
        <w:rPr>
          <w:b/>
          <w:bCs/>
        </w:rPr>
        <w:t xml:space="preserve">DRAFT 5 — [August 10, 2026]</w:t>
      </w:r>
    </w:p>
    <w:p w14:paraId="4B49DE45" w14:textId="77777777" w:rsidR="009B3347" w:rsidRDefault="00000000" w:rsidP="00715663">
      <w:pPr>
        <w:jc w:val="center"/>
      </w:pPr>
      <w:r>
        <w:br w:type="page"/>
      </w:r>
    </w:p>
    <w:p w14:paraId="6BE0E7B0" w14:textId="77777777" w:rsidR="009B3347" w:rsidRDefault="00000000" w:rsidP="00715663">
      <w:pPr>
        <w:pStyle w:val="Heading1"/>
        <w:spacing w:before="360" w:after="200"/>
        <w:jc w:val="both"/>
      </w:pPr>
      <w:bookmarkStart w:id="0" w:name="_Toc236135190"/>
      <w:r>
        <w:lastRenderedPageBreak/>
        <w:t>Table of Contents</w:t>
      </w:r>
      <w:bookmarkEnd w:id="0"/>
    </w:p>
    <w:sdt>
      <w:sdtPr>
        <w:alias w:val="Table of Contents"/>
        <w:id w:val="-182434876"/>
      </w:sdtPr>
      <w:sdtContent>
        <w:p w14:paraId="2E2536FC" w14:textId="77777777" w:rsidR="00715663" w:rsidRDefault="00000000" w:rsidP="00715663">
          <w:pPr>
            <w:pStyle w:val="TOC1"/>
            <w:tabs>
              <w:tab w:val="right" w:leader="dot" w:pos="9350"/>
            </w:tabs>
            <w:jc w:val="both"/>
            <w:rPr>
              <w:noProof/>
            </w:rPr>
          </w:pPr>
          <w:r>
            <w:fldChar w:fldCharType="begin"/>
            <w:instrText>TOC \h \o "1-1"</w:instrText>
            <w:fldChar w:fldCharType="separate"/>
          </w:r>
          <w:hyperlink w:anchor="_Toc236135190" w:history="1">
            <w:r>
              <w:rPr>
                <w:rStyle w:val="Hyperlink"/>
                <w:noProof/>
              </w:rPr>
              <w:t>Table of Contents</w:t>
            </w:r>
            <w:r>
              <w:rPr>
                <w:noProof/>
              </w:rPr>
              <w:tab/>
              <w:fldChar w:fldCharType="begin"/>
              <w:instrText xml:space="preserve"> PAGEREF _Toc236135190 \h </w:instrText>
              <w:fldChar w:fldCharType="separate"/>
              <w:t>2</w:t>
              <w:fldChar w:fldCharType="end"/>
            </w:r>
          </w:hyperlink>
        </w:p>
        <w:p w14:paraId="64BB3889" w14:textId="77777777" w:rsidR="00715663" w:rsidRDefault="00715663" w:rsidP="00715663">
          <w:pPr>
            <w:pStyle w:val="TOC1"/>
            <w:tabs>
              <w:tab w:val="right" w:leader="dot" w:pos="9350"/>
            </w:tabs>
            <w:jc w:val="both"/>
            <w:rPr>
              <w:noProof/>
            </w:rPr>
          </w:pPr>
          <w:hyperlink w:anchor="_Toc236135191" w:history="1">
            <w:r>
              <w:rPr>
                <w:rStyle w:val="Hyperlink"/>
                <w:noProof/>
              </w:rPr>
              <w:t>Preamble</w:t>
            </w:r>
            <w:r>
              <w:rPr>
                <w:noProof/>
              </w:rPr>
              <w:tab/>
              <w:fldChar w:fldCharType="begin"/>
              <w:instrText xml:space="preserve"> PAGEREF _Toc236135191 \h </w:instrText>
              <w:fldChar w:fldCharType="separate"/>
              <w:t>3</w:t>
              <w:fldChar w:fldCharType="end"/>
            </w:r>
          </w:hyperlink>
        </w:p>
        <w:p w14:paraId="7D74DB8C" w14:textId="77777777" w:rsidR="00715663" w:rsidRDefault="00715663" w:rsidP="00715663">
          <w:pPr>
            <w:pStyle w:val="TOC1"/>
            <w:tabs>
              <w:tab w:val="right" w:leader="dot" w:pos="9350"/>
            </w:tabs>
            <w:jc w:val="both"/>
            <w:rPr>
              <w:noProof/>
            </w:rPr>
          </w:pPr>
          <w:hyperlink w:anchor="_Toc236135192" w:history="1">
            <w:r>
              <w:rPr>
                <w:rStyle w:val="Hyperlink"/>
                <w:noProof/>
              </w:rPr>
              <w:t>Article I — Name, Purpose, and Offices</w:t>
            </w:r>
            <w:r>
              <w:rPr>
                <w:noProof/>
              </w:rPr>
              <w:tab/>
              <w:fldChar w:fldCharType="begin"/>
              <w:instrText xml:space="preserve"> PAGEREF _Toc236135192 \h </w:instrText>
              <w:fldChar w:fldCharType="separate"/>
              <w:t>3</w:t>
              <w:fldChar w:fldCharType="end"/>
            </w:r>
          </w:hyperlink>
        </w:p>
        <w:p w14:paraId="07178CC3" w14:textId="77777777" w:rsidR="00715663" w:rsidRDefault="00715663" w:rsidP="00715663">
          <w:pPr>
            <w:pStyle w:val="TOC1"/>
            <w:tabs>
              <w:tab w:val="right" w:leader="dot" w:pos="9350"/>
            </w:tabs>
            <w:jc w:val="both"/>
            <w:rPr>
              <w:noProof/>
            </w:rPr>
          </w:pPr>
          <w:hyperlink w:anchor="_Toc236135193" w:history="1">
            <w:r>
              <w:rPr>
                <w:rStyle w:val="Hyperlink"/>
                <w:noProof/>
              </w:rPr>
              <w:t>Article II — Membership</w:t>
            </w:r>
            <w:r>
              <w:rPr>
                <w:noProof/>
              </w:rPr>
              <w:tab/>
              <w:fldChar w:fldCharType="begin"/>
              <w:instrText xml:space="preserve"> PAGEREF _Toc236135193 \h </w:instrText>
              <w:fldChar w:fldCharType="separate"/>
              <w:t>3</w:t>
              <w:fldChar w:fldCharType="end"/>
            </w:r>
          </w:hyperlink>
        </w:p>
        <w:p w14:paraId="2D7FD4E8" w14:textId="77777777" w:rsidR="00715663" w:rsidRDefault="00715663" w:rsidP="00715663">
          <w:pPr>
            <w:pStyle w:val="TOC1"/>
            <w:tabs>
              <w:tab w:val="right" w:leader="dot" w:pos="9350"/>
            </w:tabs>
            <w:jc w:val="both"/>
            <w:rPr>
              <w:noProof/>
            </w:rPr>
          </w:pPr>
          <w:hyperlink w:anchor="_Toc236135194" w:history="1">
            <w:r>
              <w:rPr>
                <w:rStyle w:val="Hyperlink"/>
                <w:noProof/>
              </w:rPr>
              <w:t>Article III — Fellow Eligibility Standard</w:t>
            </w:r>
            <w:r>
              <w:rPr>
                <w:noProof/>
              </w:rPr>
              <w:tab/>
              <w:fldChar w:fldCharType="begin"/>
              <w:instrText xml:space="preserve"> PAGEREF _Toc236135194 \h </w:instrText>
              <w:fldChar w:fldCharType="separate"/>
              <w:t>4</w:t>
              <w:fldChar w:fldCharType="end"/>
            </w:r>
          </w:hyperlink>
        </w:p>
        <w:p w14:paraId="1C178760" w14:textId="77777777" w:rsidR="00715663" w:rsidRDefault="00715663" w:rsidP="00715663">
          <w:pPr>
            <w:pStyle w:val="TOC1"/>
            <w:tabs>
              <w:tab w:val="right" w:leader="dot" w:pos="9350"/>
            </w:tabs>
            <w:jc w:val="both"/>
            <w:rPr>
              <w:noProof/>
            </w:rPr>
          </w:pPr>
          <w:hyperlink w:anchor="_Toc236135195" w:history="1">
            <w:r>
              <w:rPr>
                <w:rStyle w:val="Hyperlink"/>
                <w:noProof/>
              </w:rPr>
              <w:t>Article IV — The Review Panel</w:t>
            </w:r>
            <w:r>
              <w:rPr>
                <w:noProof/>
              </w:rPr>
              <w:tab/>
              <w:fldChar w:fldCharType="begin"/>
              <w:instrText xml:space="preserve"> PAGEREF _Toc236135195 \h </w:instrText>
              <w:fldChar w:fldCharType="separate"/>
              <w:t>5</w:t>
              <w:fldChar w:fldCharType="end"/>
            </w:r>
          </w:hyperlink>
        </w:p>
        <w:p w14:paraId="4DB11F1A" w14:textId="77777777" w:rsidR="00715663" w:rsidRDefault="00715663" w:rsidP="00715663">
          <w:pPr>
            <w:pStyle w:val="TOC1"/>
            <w:tabs>
              <w:tab w:val="right" w:leader="dot" w:pos="9350"/>
            </w:tabs>
            <w:jc w:val="both"/>
            <w:rPr>
              <w:noProof/>
            </w:rPr>
          </w:pPr>
          <w:hyperlink w:anchor="_Toc236135196" w:history="1">
            <w:r>
              <w:rPr>
                <w:rStyle w:val="Hyperlink"/>
                <w:noProof/>
              </w:rPr>
              <w:t>Article V — Nomination and Application Process</w:t>
            </w:r>
            <w:r>
              <w:rPr>
                <w:noProof/>
              </w:rPr>
              <w:tab/>
              <w:fldChar w:fldCharType="begin"/>
              <w:instrText xml:space="preserve"> PAGEREF _Toc236135196 \h </w:instrText>
              <w:fldChar w:fldCharType="separate"/>
              <w:t>6</w:t>
              <w:fldChar w:fldCharType="end"/>
            </w:r>
          </w:hyperlink>
        </w:p>
        <w:p w14:paraId="1F030F40" w14:textId="77777777" w:rsidR="00715663" w:rsidRDefault="00715663" w:rsidP="00715663">
          <w:pPr>
            <w:pStyle w:val="TOC1"/>
            <w:tabs>
              <w:tab w:val="right" w:leader="dot" w:pos="9350"/>
            </w:tabs>
            <w:jc w:val="both"/>
            <w:rPr>
              <w:noProof/>
            </w:rPr>
          </w:pPr>
          <w:hyperlink w:anchor="_Toc236135197" w:history="1">
            <w:r>
              <w:rPr>
                <w:rStyle w:val="Hyperlink"/>
                <w:noProof/>
              </w:rPr>
              <w:t>Article VI — Institute Administration</w:t>
            </w:r>
            <w:r>
              <w:rPr>
                <w:noProof/>
              </w:rPr>
              <w:tab/>
              <w:fldChar w:fldCharType="begin"/>
              <w:instrText xml:space="preserve"> PAGEREF _Toc236135197 \h </w:instrText>
              <w:fldChar w:fldCharType="separate"/>
              <w:t>7</w:t>
              <w:fldChar w:fldCharType="end"/>
            </w:r>
          </w:hyperlink>
        </w:p>
        <w:p w14:paraId="536CC5D1" w14:textId="77777777" w:rsidR="00715663" w:rsidRDefault="00715663" w:rsidP="00715663">
          <w:pPr>
            <w:pStyle w:val="TOC1"/>
            <w:tabs>
              <w:tab w:val="right" w:leader="dot" w:pos="9350"/>
            </w:tabs>
            <w:jc w:val="both"/>
            <w:rPr>
              <w:noProof/>
            </w:rPr>
          </w:pPr>
          <w:hyperlink w:anchor="_Toc236135198" w:history="1">
            <w:r>
              <w:rPr>
                <w:rStyle w:val="Hyperlink"/>
                <w:noProof/>
              </w:rPr>
              <w:t>Article VII — Conflicts of Interest and Independence</w:t>
            </w:r>
            <w:r>
              <w:rPr>
                <w:noProof/>
              </w:rPr>
              <w:tab/>
              <w:fldChar w:fldCharType="begin"/>
              <w:instrText xml:space="preserve"> PAGEREF _Toc236135198 \h </w:instrText>
              <w:fldChar w:fldCharType="separate"/>
              <w:t>8</w:t>
              <w:fldChar w:fldCharType="end"/>
            </w:r>
          </w:hyperlink>
        </w:p>
        <w:p w14:paraId="0EEDCC47" w14:textId="77777777" w:rsidR="00715663" w:rsidRDefault="00715663" w:rsidP="00715663">
          <w:pPr>
            <w:pStyle w:val="TOC1"/>
            <w:tabs>
              <w:tab w:val="right" w:leader="dot" w:pos="9350"/>
            </w:tabs>
            <w:jc w:val="both"/>
            <w:rPr>
              <w:noProof/>
            </w:rPr>
          </w:pPr>
          <w:hyperlink w:anchor="_Toc236135199" w:history="1">
            <w:r>
              <w:rPr>
                <w:rStyle w:val="Hyperlink"/>
                <w:noProof/>
              </w:rPr>
              <w:t>Article VIII — Meetings of the Institute</w:t>
            </w:r>
            <w:r>
              <w:rPr>
                <w:noProof/>
              </w:rPr>
              <w:tab/>
              <w:fldChar w:fldCharType="begin"/>
              <w:instrText xml:space="preserve"> PAGEREF _Toc236135199 \h </w:instrText>
              <w:fldChar w:fldCharType="separate"/>
              <w:t>8</w:t>
              <w:fldChar w:fldCharType="end"/>
            </w:r>
          </w:hyperlink>
        </w:p>
        <w:p w14:paraId="53C2821B" w14:textId="77777777" w:rsidR="00715663" w:rsidRDefault="00715663" w:rsidP="00715663">
          <w:pPr>
            <w:pStyle w:val="TOC1"/>
            <w:tabs>
              <w:tab w:val="right" w:leader="dot" w:pos="9350"/>
            </w:tabs>
            <w:jc w:val="both"/>
            <w:rPr>
              <w:noProof/>
            </w:rPr>
          </w:pPr>
          <w:hyperlink w:anchor="_Toc236135200" w:history="1">
            <w:r>
              <w:rPr>
                <w:rStyle w:val="Hyperlink"/>
                <w:noProof/>
              </w:rPr>
              <w:t>Article IX — Councils</w:t>
            </w:r>
            <w:r>
              <w:rPr>
                <w:noProof/>
              </w:rPr>
              <w:tab/>
              <w:fldChar w:fldCharType="begin"/>
              <w:instrText xml:space="preserve"> PAGEREF _Toc236135200 \h </w:instrText>
              <w:fldChar w:fldCharType="separate"/>
              <w:t>9</w:t>
              <w:fldChar w:fldCharType="end"/>
            </w:r>
          </w:hyperlink>
        </w:p>
        <w:p w14:paraId="68061621" w14:textId="77777777" w:rsidR="00715663" w:rsidRDefault="00715663" w:rsidP="00715663">
          <w:pPr>
            <w:pStyle w:val="TOC1"/>
            <w:tabs>
              <w:tab w:val="right" w:leader="dot" w:pos="9350"/>
            </w:tabs>
            <w:jc w:val="both"/>
            <w:rPr>
              <w:noProof/>
            </w:rPr>
          </w:pPr>
          <w:hyperlink w:anchor="_Toc236135201" w:history="1">
            <w:r>
              <w:rPr>
                <w:rStyle w:val="Hyperlink"/>
                <w:noProof/>
              </w:rPr>
              <w:t>Article X — Code of Conduct and Discipline</w:t>
            </w:r>
            <w:r>
              <w:rPr>
                <w:noProof/>
              </w:rPr>
              <w:tab/>
              <w:fldChar w:fldCharType="begin"/>
              <w:instrText xml:space="preserve"> PAGEREF _Toc236135201 \h </w:instrText>
              <w:fldChar w:fldCharType="separate"/>
              <w:t>9</w:t>
              <w:fldChar w:fldCharType="end"/>
            </w:r>
          </w:hyperlink>
        </w:p>
        <w:p w14:paraId="4C8BE567" w14:textId="77777777" w:rsidR="00715663" w:rsidRDefault="00715663" w:rsidP="00715663">
          <w:pPr>
            <w:pStyle w:val="TOC1"/>
            <w:tabs>
              <w:tab w:val="right" w:leader="dot" w:pos="9350"/>
            </w:tabs>
            <w:jc w:val="both"/>
            <w:rPr>
              <w:noProof/>
            </w:rPr>
          </w:pPr>
          <w:hyperlink w:anchor="_Toc236135202" w:history="1">
            <w:r>
              <w:rPr>
                <w:rStyle w:val="Hyperlink"/>
                <w:noProof/>
              </w:rPr>
              <w:t>Article XI — Dues, Fees, and Finances</w:t>
            </w:r>
            <w:r>
              <w:rPr>
                <w:noProof/>
              </w:rPr>
              <w:tab/>
              <w:fldChar w:fldCharType="begin"/>
              <w:instrText xml:space="preserve"> PAGEREF _Toc236135202 \h </w:instrText>
              <w:fldChar w:fldCharType="separate"/>
              <w:t>10</w:t>
              <w:fldChar w:fldCharType="end"/>
            </w:r>
          </w:hyperlink>
        </w:p>
        <w:p w14:paraId="2DEC6C19" w14:textId="77777777" w:rsidR="00715663" w:rsidRDefault="00715663" w:rsidP="00715663">
          <w:pPr>
            <w:pStyle w:val="TOC1"/>
            <w:tabs>
              <w:tab w:val="right" w:leader="dot" w:pos="9350"/>
            </w:tabs>
            <w:jc w:val="both"/>
            <w:rPr>
              <w:noProof/>
            </w:rPr>
          </w:pPr>
          <w:hyperlink w:anchor="_Toc236135203" w:history="1">
            <w:r>
              <w:rPr>
                <w:rStyle w:val="Hyperlink"/>
                <w:noProof/>
              </w:rPr>
              <w:t>Article XII — Amendments</w:t>
            </w:r>
            <w:r>
              <w:rPr>
                <w:noProof/>
              </w:rPr>
              <w:tab/>
              <w:fldChar w:fldCharType="begin"/>
              <w:instrText xml:space="preserve"> PAGEREF _Toc236135203 \h </w:instrText>
              <w:fldChar w:fldCharType="separate"/>
              <w:t>10</w:t>
              <w:fldChar w:fldCharType="end"/>
            </w:r>
          </w:hyperlink>
        </w:p>
        <w:p w14:paraId="61FBC017" w14:textId="77777777" w:rsidR="00715663" w:rsidRDefault="00715663" w:rsidP="00715663">
          <w:pPr>
            <w:pStyle w:val="TOC1"/>
            <w:tabs>
              <w:tab w:val="right" w:leader="dot" w:pos="9350"/>
            </w:tabs>
            <w:jc w:val="both"/>
            <w:rPr>
              <w:noProof/>
            </w:rPr>
          </w:pPr>
          <w:hyperlink w:anchor="_Toc236135204" w:history="1">
            <w:r>
              <w:rPr>
                <w:rStyle w:val="Hyperlink"/>
                <w:noProof/>
              </w:rPr>
              <w:t>Article XIII — Dissolution</w:t>
            </w:r>
            <w:r>
              <w:rPr>
                <w:noProof/>
              </w:rPr>
              <w:tab/>
              <w:fldChar w:fldCharType="begin"/>
              <w:instrText xml:space="preserve"> PAGEREF _Toc236135204 \h </w:instrText>
              <w:fldChar w:fldCharType="separate"/>
              <w:t>11</w:t>
              <w:fldChar w:fldCharType="end"/>
            </w:r>
          </w:hyperlink>
        </w:p>
        <w:p w14:paraId="1205175D" w14:textId="77777777" w:rsidR="00715663" w:rsidRDefault="00715663" w:rsidP="00715663">
          <w:pPr>
            <w:pStyle w:val="TOC1"/>
            <w:tabs>
              <w:tab w:val="right" w:leader="dot" w:pos="9350"/>
            </w:tabs>
            <w:jc w:val="both"/>
            <w:rPr>
              <w:noProof/>
            </w:rPr>
          </w:pPr>
          <w:hyperlink w:anchor="_Toc236135205" w:history="1">
            <w:r>
              <w:rPr>
                <w:rStyle w:val="Hyperlink"/>
                <w:noProof/>
              </w:rPr>
              <w:t>Article XIV — Indemnification and Limitation of Liability</w:t>
            </w:r>
            <w:r>
              <w:rPr>
                <w:noProof/>
              </w:rPr>
              <w:tab/>
              <w:fldChar w:fldCharType="begin"/>
              <w:instrText xml:space="preserve"> PAGEREF _Toc236135205 \h </w:instrText>
              <w:fldChar w:fldCharType="separate"/>
              <w:t>11</w:t>
              <w:fldChar w:fldCharType="end"/>
            </w:r>
          </w:hyperlink>
        </w:p>
        <w:p w14:paraId="685DF890" w14:textId="77777777" w:rsidR="00715663" w:rsidRDefault="00715663" w:rsidP="00715663">
          <w:pPr>
            <w:pStyle w:val="TOC1"/>
            <w:tabs>
              <w:tab w:val="right" w:leader="dot" w:pos="9350"/>
            </w:tabs>
            <w:jc w:val="both"/>
            <w:rPr>
              <w:noProof/>
            </w:rPr>
          </w:pPr>
          <w:hyperlink w:anchor="_Toc236135206" w:history="1">
            <w:r>
              <w:rPr>
                <w:rStyle w:val="Hyperlink"/>
                <w:noProof/>
              </w:rPr>
              <w:t>Article XV — General Provisions</w:t>
            </w:r>
            <w:r>
              <w:rPr>
                <w:noProof/>
              </w:rPr>
              <w:tab/>
              <w:fldChar w:fldCharType="begin"/>
              <w:instrText xml:space="preserve"> PAGEREF _Toc236135206 \h </w:instrText>
              <w:fldChar w:fldCharType="separate"/>
              <w:t>11</w:t>
              <w:fldChar w:fldCharType="end"/>
            </w:r>
          </w:hyperlink>
        </w:p>
        <w:p w14:paraId="7815ABD6" w14:textId="77777777" w:rsidR="009B3347" w:rsidRDefault="00000000" w:rsidP="00715663">
          <w:pPr>
            <w:jc w:val="both"/>
          </w:pPr>
          <w:r>
            <w:fldChar w:fldCharType="end"/>
          </w:r>
        </w:p>
      </w:sdtContent>
    </w:sdt>
    <w:p w14:paraId="726E36C9" w14:textId="77777777" w:rsidR="009B3347" w:rsidRDefault="00000000" w:rsidP="00715663">
      <w:pPr>
        <w:jc w:val="both"/>
      </w:pPr>
      <w:r>
        <w:br w:type="page"/>
      </w:r>
    </w:p>
    <w:p w14:paraId="0938BB94" w14:textId="77777777" w:rsidR="009B3347" w:rsidRDefault="00000000" w:rsidP="00715663">
      <w:pPr>
        <w:pStyle w:val="Heading1"/>
        <w:spacing w:before="360" w:after="200"/>
        <w:jc w:val="both"/>
      </w:pPr>
      <w:bookmarkStart w:id="1" w:name="_Toc236135191"/>
      <w:r>
        <w:lastRenderedPageBreak/>
        <w:t>Preamble</w:t>
      </w:r>
      <w:bookmarkEnd w:id="1"/>
    </w:p>
    <w:p w14:paraId="6080C84C" w14:textId="77777777" w:rsidR="009B3347" w:rsidRDefault="00000000" w:rsidP="00715663">
      <w:pPr>
        <w:spacing w:after="160"/>
        <w:jc w:val="both"/>
      </w:pPr>
      <w:r>
        <w:t>The American Institute for Information Technology &amp; Engineering ("AIITE" or the "Institute") is a professional membership institute dedicated to advancing the fields of information technology and engineering through community, knowledge-sharing, and the recognition of outstanding, sustained achievement. The Institute maintains an open, no-cost general membership and a selective Fellow grade, admission to which is determined solely by an independent panel of recognized experts applying the standards set forth in these Bylaws.</w:t>
      </w:r>
    </w:p>
    <w:p w14:paraId="4790F9E7" w14:textId="77777777" w:rsidR="009B3347" w:rsidRDefault="00000000" w:rsidP="00715663">
      <w:pPr>
        <w:pStyle w:val="Heading1"/>
        <w:spacing w:before="360" w:after="200"/>
        <w:jc w:val="both"/>
      </w:pPr>
      <w:bookmarkStart w:id="2" w:name="_Toc236135192"/>
      <w:r>
        <w:t>Article I — Name, Purpose, and Offices</w:t>
      </w:r>
      <w:bookmarkEnd w:id="2"/>
    </w:p>
    <w:p w14:paraId="1FCFFB25" w14:textId="77777777" w:rsidR="009B3347" w:rsidRDefault="00000000" w:rsidP="00715663">
      <w:pPr>
        <w:pStyle w:val="Heading2"/>
        <w:spacing w:before="240" w:after="120"/>
        <w:jc w:val="both"/>
      </w:pPr>
      <w:r>
        <w:rPr>
          <w:b/>
          <w:bCs/>
        </w:rPr>
        <w:t>1.1 Name</w:t>
      </w:r>
    </w:p>
    <w:p w14:paraId="08E28752" w14:textId="77777777" w:rsidR="009B3347" w:rsidRDefault="00000000" w:rsidP="00715663">
      <w:pPr>
        <w:spacing w:after="160"/>
        <w:jc w:val="both"/>
      </w:pPr>
      <w:r>
        <w:t>The name of the organization is the American Institute for Information Technology &amp; Engineering, referred to in these Bylaws as "AIITE" or the "Institute."</w:t>
      </w:r>
    </w:p>
    <w:p w14:paraId="756E1633" w14:textId="77777777" w:rsidR="009B3347" w:rsidRDefault="00000000" w:rsidP="00715663">
      <w:pPr>
        <w:pStyle w:val="Heading2"/>
        <w:spacing w:before="240" w:after="120"/>
        <w:jc w:val="both"/>
      </w:pPr>
      <w:r>
        <w:rPr>
          <w:b/>
          <w:bCs/>
        </w:rPr>
        <w:t>1.2 Purpose</w:t>
      </w:r>
    </w:p>
    <w:p w14:paraId="1B569253" w14:textId="77777777" w:rsidR="009B3347" w:rsidRDefault="00000000" w:rsidP="00715663">
      <w:pPr>
        <w:spacing w:after="160"/>
        <w:jc w:val="both"/>
      </w:pPr>
      <w:r>
        <w:t>The Institute is organized to: (a) advance the fields of information technology and engineering through education, community, and the exchange of knowledge; (b) recognize individuals who have made outstanding and sustained contributions to those fields, through an independent, expert-judged Fellow grade; (c) convene a professional community open to practitioners at all career stages; and (d) support the ethical and professional development of its members and Fellows.</w:t>
      </w:r>
    </w:p>
    <w:p w14:paraId="63382DED" w14:textId="77777777" w:rsidR="009B3347" w:rsidRDefault="00000000" w:rsidP="00715663">
      <w:pPr>
        <w:pStyle w:val="Heading2"/>
        <w:spacing w:before="240" w:after="120"/>
        <w:jc w:val="both"/>
      </w:pPr>
      <w:r>
        <w:rPr>
          <w:b/>
          <w:bCs/>
        </w:rPr>
        <w:t>1.3 Principal Office</w:t>
      </w:r>
    </w:p>
    <w:p w14:paraId="7D46CAA4" w14:textId="77777777" w:rsidR="009B3347" w:rsidRDefault="00000000" w:rsidP="00715663">
      <w:pPr>
        <w:spacing w:after="160"/>
        <w:jc w:val="both"/>
      </w:pPr>
      <w:r>
        <w:t>The Institute shall maintain a principal office at a location designated by the Officers and may maintain additional offices as the Officers determine necessary.</w:t>
      </w:r>
    </w:p>
    <w:p w14:paraId="1FD8E4D9" w14:textId="77777777" w:rsidR="009B3347" w:rsidRDefault="00000000" w:rsidP="00715663">
      <w:pPr>
        <w:pStyle w:val="Heading2"/>
        <w:spacing w:before="240" w:after="120"/>
        <w:jc w:val="both"/>
      </w:pPr>
      <w:r>
        <w:rPr>
          <w:b/>
          <w:bCs/>
        </w:rPr>
        <w:t>1.4 Fiscal Year</w:t>
      </w:r>
    </w:p>
    <w:p w14:paraId="5ED028A1" w14:textId="77777777" w:rsidR="009B3347" w:rsidRDefault="00000000" w:rsidP="00715663">
      <w:pPr>
        <w:spacing w:after="160"/>
        <w:jc w:val="both"/>
      </w:pPr>
      <w:r>
        <w:t>The fiscal year of the Institute shall be the calendar year, unless otherwise determined by the Officers.</w:t>
      </w:r>
    </w:p>
    <w:p w14:paraId="72B3937C" w14:textId="77777777" w:rsidR="009B3347" w:rsidRDefault="00000000" w:rsidP="00715663">
      <w:pPr>
        <w:pStyle w:val="Heading1"/>
        <w:spacing w:before="360" w:after="200"/>
        <w:jc w:val="both"/>
      </w:pPr>
      <w:bookmarkStart w:id="3" w:name="_Toc236135193"/>
      <w:r>
        <w:t>Article II — Membership</w:t>
      </w:r>
      <w:bookmarkEnd w:id="3"/>
    </w:p>
    <w:p w14:paraId="6E2DE492" w14:textId="77777777" w:rsidR="009B3347" w:rsidRDefault="00000000" w:rsidP="00715663">
      <w:pPr>
        <w:pStyle w:val="Heading2"/>
        <w:spacing w:before="240" w:after="120"/>
        <w:jc w:val="both"/>
      </w:pPr>
      <w:r>
        <w:rPr>
          <w:b/>
          <w:bCs/>
        </w:rPr>
        <w:t>2.1 Classes of Membership</w:t>
      </w:r>
    </w:p>
    <w:p w14:paraId="71A69DDC" w14:textId="77777777" w:rsidR="009B3347" w:rsidRDefault="00000000" w:rsidP="00715663">
      <w:pPr>
        <w:spacing w:after="160"/>
        <w:jc w:val="both"/>
      </w:pPr>
      <w:r>
        <w:t>The Institute shall have two classes of membership: (a) Ambassador, and (b) Fellow. The classes are independent: Ambassador status is never a prerequisite of, nor does it confer eligibility, preference, or a presumption of approval for, Fellow status.</w:t>
      </w:r>
    </w:p>
    <w:p w14:paraId="2003059F" w14:textId="77777777" w:rsidR="009B3347" w:rsidRDefault="00000000" w:rsidP="00715663">
      <w:pPr>
        <w:pStyle w:val="Heading2"/>
        <w:spacing w:before="240" w:after="120"/>
        <w:jc w:val="both"/>
      </w:pPr>
      <w:r>
        <w:rPr>
          <w:b/>
          <w:bCs/>
        </w:rPr>
        <w:t>2.2 Ambassador</w:t>
      </w:r>
    </w:p>
    <w:p w14:paraId="2EFB729D" w14:textId="77777777" w:rsidR="009B3347" w:rsidRDefault="00000000" w:rsidP="00715663">
      <w:pPr>
        <w:spacing w:after="160"/>
        <w:jc w:val="both"/>
      </w:pPr>
      <w:r>
        <w:t>Ambassadorship is open, without cost, to any individual who is a student, practitioner, researcher, or professional in information technology, engineering, AI, data analytics, or a closely related field, and is granted upon review of a completed application confirming eligibility under this Section. Ambassador status confers no presumption of outstanding achievement and shall not be described or marketed as such.</w:t>
      </w:r>
    </w:p>
    <w:p w14:paraId="2C99D9D8" w14:textId="77777777" w:rsidR="00715663" w:rsidRDefault="00715663" w:rsidP="00715663">
      <w:pPr>
        <w:pStyle w:val="Heading2"/>
        <w:spacing w:before="240" w:after="120"/>
        <w:jc w:val="both"/>
        <w:rPr>
          <w:b/>
          <w:bCs/>
        </w:rPr>
      </w:pPr>
    </w:p>
    <w:p w14:paraId="7F68C04E" w14:textId="7FBDBA1D" w:rsidR="009B3347" w:rsidRDefault="00000000" w:rsidP="00715663">
      <w:pPr>
        <w:pStyle w:val="Heading2"/>
        <w:spacing w:before="240" w:after="120"/>
        <w:jc w:val="both"/>
      </w:pPr>
      <w:r>
        <w:rPr>
          <w:b/>
          <w:bCs/>
        </w:rPr>
        <w:lastRenderedPageBreak/>
        <w:t>2.3 Fellow</w:t>
      </w:r>
    </w:p>
    <w:p w14:paraId="70A67747" w14:textId="77777777" w:rsidR="009B3347" w:rsidRDefault="00000000" w:rsidP="00715663">
      <w:pPr>
        <w:spacing w:after="160"/>
        <w:jc w:val="both"/>
      </w:pPr>
      <w:r>
        <w:t>Fellow status is a selective grade conferred only upon individuals who satisfy the eligibility categories set forth in Article III and are affirmatively approved by the Review Panel described in Article IV, following payment of the non-refundable assessment fee described in Article V. Fellow status is not available for purchase and is not conferred as a matter of course upon payment of any fee.</w:t>
      </w:r>
    </w:p>
    <w:p w14:paraId="3D3AE43E" w14:textId="77777777" w:rsidR="009B3347" w:rsidRDefault="00000000" w:rsidP="00715663">
      <w:pPr>
        <w:pStyle w:val="Heading2"/>
        <w:spacing w:before="240" w:after="120"/>
        <w:jc w:val="both"/>
      </w:pPr>
      <w:r>
        <w:rPr>
          <w:b/>
          <w:bCs/>
        </w:rPr>
        <w:t>2.4 Protection of the Fellow Grade</w:t>
      </w:r>
    </w:p>
    <w:p w14:paraId="1752E555" w14:textId="77777777" w:rsidR="009B3347" w:rsidRDefault="00000000" w:rsidP="00715663">
      <w:pPr>
        <w:spacing w:after="160"/>
        <w:jc w:val="both"/>
      </w:pPr>
      <w:r>
        <w:t>Fellow is the highest grade of membership in the Institute. No Officer or committee may create a grade, title, or designation described as "Distinguished Fellow," "Honorary Fellow," or by any other name intended or reasonably understood to sit above, alongside, or in substitution for Fellow. This Section may be amended only by the procedure set forth in Article XII for amendments to Article III.</w:t>
      </w:r>
    </w:p>
    <w:p w14:paraId="6234BA4E" w14:textId="77777777" w:rsidR="009B3347" w:rsidRDefault="00000000" w:rsidP="00715663">
      <w:pPr>
        <w:pStyle w:val="Heading2"/>
        <w:spacing w:before="240" w:after="120"/>
        <w:jc w:val="both"/>
      </w:pPr>
      <w:r>
        <w:rPr>
          <w:b/>
          <w:bCs/>
        </w:rPr>
        <w:t>2.5 Rights and Privileges</w:t>
      </w:r>
    </w:p>
    <w:p w14:paraId="1BDC26AB" w14:textId="77777777" w:rsidR="009B3347" w:rsidRDefault="00000000" w:rsidP="00715663">
      <w:pPr>
        <w:spacing w:after="100"/>
        <w:ind w:left="360"/>
        <w:jc w:val="both"/>
      </w:pPr>
      <w:r>
        <w:t xml:space="preserve">-  </w:t>
      </w:r>
      <w:r>
        <w:rPr>
          <w:b/>
          <w:bCs/>
        </w:rPr>
        <w:t xml:space="preserve">Ambassadors: </w:t>
      </w:r>
      <w:r>
        <w:t>access to Institute communications, community events, and eligibility to apply for or be nominated to Fellow status.</w:t>
      </w:r>
    </w:p>
    <w:p w14:paraId="67C429E9" w14:textId="77777777" w:rsidR="009B3347" w:rsidRDefault="00000000" w:rsidP="00715663">
      <w:pPr>
        <w:spacing w:after="100"/>
        <w:ind w:left="360"/>
        <w:jc w:val="both"/>
      </w:pPr>
      <w:r>
        <w:t xml:space="preserve">-  </w:t>
      </w:r>
      <w:r>
        <w:rPr>
          <w:b/>
          <w:bCs/>
        </w:rPr>
        <w:t xml:space="preserve">Fellows: </w:t>
      </w:r>
      <w:r>
        <w:t>all rights of Ambassadors, plus use of the post-nominal designation "FAIITE," eligibility to serve on Councils, and inclusion in the public Fellow register described in Section 3.5.</w:t>
      </w:r>
    </w:p>
    <w:p w14:paraId="6B88CDE5" w14:textId="77777777" w:rsidR="009B3347" w:rsidRDefault="00000000" w:rsidP="00715663">
      <w:pPr>
        <w:pStyle w:val="Heading2"/>
        <w:spacing w:before="240" w:after="120"/>
        <w:jc w:val="both"/>
      </w:pPr>
      <w:r>
        <w:rPr>
          <w:b/>
          <w:bCs/>
        </w:rPr>
        <w:t>2.6 Resignation, Suspension, and Revocation</w:t>
      </w:r>
    </w:p>
    <w:p w14:paraId="7A4FCCDD" w14:textId="77777777" w:rsidR="009B3347" w:rsidRDefault="00000000" w:rsidP="00715663">
      <w:pPr>
        <w:spacing w:after="160"/>
        <w:jc w:val="both"/>
      </w:pPr>
      <w:r>
        <w:t>Any Ambassador or Fellow may resign upon written notice. The Officers may suspend or revoke Membership or Fellow status for violation of the Code of Conduct (Article X), following the disciplinary process set forth therein. Fellow status obtained through material misrepresentation is subject to immediate revocation upon finding by the Review Panel.</w:t>
      </w:r>
    </w:p>
    <w:p w14:paraId="62733218" w14:textId="77777777" w:rsidR="009B3347" w:rsidRDefault="00000000" w:rsidP="00715663">
      <w:pPr>
        <w:pStyle w:val="Heading2"/>
        <w:spacing w:before="240" w:after="120"/>
        <w:jc w:val="both"/>
      </w:pPr>
      <w:r>
        <w:rPr>
          <w:b/>
          <w:bCs/>
        </w:rPr>
        <w:t>2.7 Non-Discrimination</w:t>
      </w:r>
    </w:p>
    <w:p w14:paraId="7855ADA3" w14:textId="77777777" w:rsidR="009B3347" w:rsidRDefault="00000000" w:rsidP="00715663">
      <w:pPr>
        <w:spacing w:after="160"/>
        <w:jc w:val="both"/>
      </w:pPr>
      <w:r>
        <w:t>Membership and Fellow status are open and available without regard to race, color, national origin, sex, disability, age, religion, or any other status protected by applicable law.</w:t>
      </w:r>
    </w:p>
    <w:p w14:paraId="09F34E23" w14:textId="77777777" w:rsidR="009B3347" w:rsidRDefault="00000000" w:rsidP="00715663">
      <w:pPr>
        <w:pStyle w:val="Heading1"/>
        <w:spacing w:before="360" w:after="200"/>
        <w:jc w:val="both"/>
      </w:pPr>
      <w:bookmarkStart w:id="4" w:name="_Toc236135194"/>
      <w:r>
        <w:t>Article III — Fellow Eligibility Standard</w:t>
      </w:r>
      <w:bookmarkEnd w:id="4"/>
    </w:p>
    <w:p w14:paraId="56095B39" w14:textId="77777777" w:rsidR="009B3347" w:rsidRDefault="00000000" w:rsidP="00715663">
      <w:pPr>
        <w:pStyle w:val="Heading2"/>
        <w:spacing w:before="240" w:after="120"/>
        <w:jc w:val="both"/>
      </w:pPr>
      <w:r>
        <w:rPr>
          <w:b/>
          <w:bCs/>
        </w:rPr>
        <w:t>3.1 General Standard</w:t>
      </w:r>
    </w:p>
    <w:p w14:paraId="3FFD70A0" w14:textId="77777777" w:rsidR="009B3347" w:rsidRDefault="00000000" w:rsidP="00715663">
      <w:pPr>
        <w:spacing w:after="160"/>
        <w:jc w:val="both"/>
      </w:pPr>
      <w:r>
        <w:t>Fellow status recognizes outstanding, sustained achievement in information technology or engineering, as determined solely by the Review Panel described in Article IV. The standard is one of genuine distinction within the field; neither tenure, employment, payment of fees, nor self-attestation, alone or in combination, is sufficient.</w:t>
      </w:r>
    </w:p>
    <w:p w14:paraId="78D67892" w14:textId="77777777" w:rsidR="009B3347" w:rsidRDefault="00000000" w:rsidP="00715663">
      <w:pPr>
        <w:pStyle w:val="Heading2"/>
        <w:spacing w:before="240" w:after="120"/>
        <w:jc w:val="both"/>
      </w:pPr>
      <w:r>
        <w:rPr>
          <w:b/>
          <w:bCs/>
        </w:rPr>
        <w:t>3.2 Eligibility Categories</w:t>
      </w:r>
    </w:p>
    <w:p w14:paraId="56DC800F" w14:textId="77777777" w:rsidR="009B3347" w:rsidRDefault="00000000" w:rsidP="00715663">
      <w:pPr>
        <w:spacing w:after="160"/>
        <w:jc w:val="both"/>
      </w:pPr>
      <w:r>
        <w:t>An applicant for Fellow status must present documented evidence satisfying at least three (3) of the following six (6) evidence domains:</w:t>
      </w:r>
    </w:p>
    <w:p w14:paraId="6429A56D" w14:textId="77777777" w:rsidR="009B3347" w:rsidRDefault="00000000" w:rsidP="00715663">
      <w:pPr>
        <w:spacing w:after="140"/>
        <w:ind w:left="360"/>
        <w:jc w:val="both"/>
      </w:pPr>
      <w:r>
        <w:lastRenderedPageBreak/>
        <w:t xml:space="preserve">1. </w:t>
      </w:r>
      <w:r>
        <w:rPr>
          <w:b/>
          <w:bCs/>
          <w:i/>
          <w:iCs/>
        </w:rPr>
        <w:t xml:space="preserve">Technical Innovation and Adoption — </w:t>
      </w:r>
      <w:r>
        <w:t>a system, method, platform, or innovation with demonstrated impact on the field, evidenced by patents, adopted frameworks, widely-used open-source contributions, or published original methodology.</w:t>
      </w:r>
    </w:p>
    <w:p w14:paraId="2CBC289B" w14:textId="77777777" w:rsidR="009B3347" w:rsidRDefault="00000000" w:rsidP="00715663">
      <w:pPr>
        <w:spacing w:after="140"/>
        <w:ind w:left="360"/>
        <w:jc w:val="both"/>
      </w:pPr>
      <w:r>
        <w:t xml:space="preserve">2. </w:t>
      </w:r>
      <w:r>
        <w:rPr>
          <w:b/>
          <w:bCs/>
          <w:i/>
          <w:iCs/>
        </w:rPr>
        <w:t xml:space="preserve">Leadership and Professional Responsibility — </w:t>
      </w:r>
      <w:r>
        <w:t>sustained responsibility for the technical strategy, engineering delivery, or transformation of a significant organization, platform, or initiative at scale.</w:t>
      </w:r>
    </w:p>
    <w:p w14:paraId="496E8C43" w14:textId="77777777" w:rsidR="009B3347" w:rsidRDefault="00000000" w:rsidP="00715663">
      <w:pPr>
        <w:spacing w:after="140"/>
        <w:ind w:left="360"/>
        <w:jc w:val="both"/>
      </w:pPr>
      <w:r>
        <w:t xml:space="preserve">3. </w:t>
      </w:r>
      <w:r>
        <w:rPr>
          <w:b/>
          <w:bCs/>
          <w:i/>
          <w:iCs/>
        </w:rPr>
        <w:t xml:space="preserve">Research and Knowledge Advancement — </w:t>
      </w:r>
      <w:r>
        <w:t>peer-reviewed publication, authored technical standards, or widely-cited technical work.</w:t>
      </w:r>
    </w:p>
    <w:p w14:paraId="3107CAE5" w14:textId="77777777" w:rsidR="009B3347" w:rsidRDefault="00000000" w:rsidP="00715663">
      <w:pPr>
        <w:spacing w:after="140"/>
        <w:ind w:left="360"/>
        <w:jc w:val="both"/>
      </w:pPr>
      <w:r>
        <w:t xml:space="preserve">4. </w:t>
      </w:r>
      <w:r>
        <w:rPr>
          <w:b/>
          <w:bCs/>
          <w:i/>
          <w:iCs/>
        </w:rPr>
        <w:t xml:space="preserve">Peer Review and Professional Service — </w:t>
      </w:r>
      <w:r>
        <w:t>service as a judge, reviewer, or evaluator for conferences, journals, competitions, or comparable expert panels.</w:t>
      </w:r>
    </w:p>
    <w:p w14:paraId="12FF83E4" w14:textId="77777777" w:rsidR="009B3347" w:rsidRDefault="00000000" w:rsidP="00715663">
      <w:pPr>
        <w:spacing w:after="140"/>
        <w:ind w:left="360"/>
        <w:jc w:val="both"/>
      </w:pPr>
      <w:r>
        <w:t xml:space="preserve">5. </w:t>
      </w:r>
      <w:r>
        <w:rPr>
          <w:b/>
          <w:bCs/>
          <w:i/>
          <w:iCs/>
        </w:rPr>
        <w:t xml:space="preserve">Professional Recognition — </w:t>
      </w:r>
      <w:r>
        <w:t>receipt of a merit-based award or honor from an independent body, applying clear and published judging criteria. Awards obtained through payment of an entry or participation fee, without independent merit-based judging, do not satisfy this domain.</w:t>
      </w:r>
    </w:p>
    <w:p w14:paraId="6F738D5A" w14:textId="011329D4" w:rsidR="009B3347" w:rsidRDefault="00000000" w:rsidP="00715663">
      <w:pPr>
        <w:spacing w:after="140"/>
        <w:ind w:left="360"/>
        <w:jc w:val="both"/>
      </w:pPr>
      <w:r>
        <w:t xml:space="preserve">6. </w:t>
      </w:r>
      <w:r>
        <w:rPr>
          <w:b/>
          <w:bCs/>
          <w:i/>
          <w:iCs/>
        </w:rPr>
        <w:t xml:space="preserve">Organizational, or Industry Impact — </w:t>
      </w:r>
      <w:r>
        <w:t xml:space="preserve">a role of independently verifiable scope and consequence within a company, government body, or major initiative, or outcomes demonstrating material improvement to an organization, or industry.</w:t>
      </w:r>
    </w:p>
    <w:p w14:paraId="3F02B97F" w14:textId="77777777" w:rsidR="009B3347" w:rsidRDefault="00000000" w:rsidP="00715663">
      <w:pPr>
        <w:pStyle w:val="Heading2"/>
        <w:spacing w:before="240" w:after="120"/>
        <w:jc w:val="both"/>
      </w:pPr>
      <w:r>
        <w:rPr>
          <w:b/>
          <w:bCs/>
        </w:rPr>
        <w:t>3.3 Threshold and Overall Fellowship Review</w:t>
      </w:r>
    </w:p>
    <w:p w14:paraId="66930417" w14:textId="77777777" w:rsidR="009B3347" w:rsidRDefault="00000000" w:rsidP="00715663">
      <w:pPr>
        <w:spacing w:after="160"/>
        <w:jc w:val="both"/>
      </w:pPr>
      <w:r>
        <w:t>Satisfaction of the numeric threshold in Section 3.2 establishes eligibility for review but does not entitle an applicant to Fellow status. The Review Panel shall additionally conduct an Overall Fellowship Review assessing the totality of the applicant's record against the general standard in Section 3.1. An applicant meeting the numeric threshold may be declined at the Overall Fellowship Review stage; this two-step structure is mandatory and may not be waived.</w:t>
      </w:r>
    </w:p>
    <w:p w14:paraId="3110E715" w14:textId="77777777" w:rsidR="009B3347" w:rsidRDefault="00000000" w:rsidP="00715663">
      <w:pPr>
        <w:pStyle w:val="Heading2"/>
        <w:spacing w:before="240" w:after="120"/>
        <w:jc w:val="both"/>
      </w:pPr>
      <w:r>
        <w:rPr>
          <w:b/>
          <w:bCs/>
        </w:rPr>
        <w:t>3.4 Selectivity and Transparency</w:t>
      </w:r>
    </w:p>
    <w:p w14:paraId="707DECB7" w14:textId="77777777" w:rsidR="009B3347" w:rsidRDefault="00000000" w:rsidP="00715663">
      <w:pPr>
        <w:spacing w:after="160"/>
        <w:jc w:val="both"/>
      </w:pPr>
      <w:r>
        <w:t>The Institute shall publish, no less than annually, the eligibility categories then in effect, the composition and biographies of the Review Panel, and the aggregate acceptance rate for the preceding review cycle.</w:t>
      </w:r>
    </w:p>
    <w:p w14:paraId="29EF0B63" w14:textId="77777777" w:rsidR="009B3347" w:rsidRDefault="00000000" w:rsidP="00715663">
      <w:pPr>
        <w:pStyle w:val="Heading2"/>
        <w:spacing w:before="240" w:after="120"/>
        <w:jc w:val="both"/>
      </w:pPr>
      <w:r>
        <w:rPr>
          <w:b/>
          <w:bCs/>
        </w:rPr>
        <w:t>3.5 Public Fellow Register</w:t>
      </w:r>
    </w:p>
    <w:p w14:paraId="5294A5D0" w14:textId="77777777" w:rsidR="009B3347" w:rsidRDefault="00000000" w:rsidP="00715663">
      <w:pPr>
        <w:spacing w:after="160"/>
        <w:jc w:val="both"/>
      </w:pPr>
      <w:r>
        <w:t>The Institute shall maintain a public register of current Fellows in good standing, including each Fellow's name, year of election, and primary discipline, accessible on the Institute's website. A Fellow whose status has lapsed, or has been suspended or revoked under Article X, shall be removed from the public register promptly upon such change.</w:t>
      </w:r>
    </w:p>
    <w:p w14:paraId="2BA9F607" w14:textId="77777777" w:rsidR="009B3347" w:rsidRDefault="00000000" w:rsidP="00715663">
      <w:pPr>
        <w:pStyle w:val="Heading1"/>
        <w:spacing w:before="360" w:after="200"/>
        <w:jc w:val="both"/>
      </w:pPr>
      <w:bookmarkStart w:id="5" w:name="_Toc236135195"/>
      <w:r>
        <w:t>Article IV — The Review Panel</w:t>
      </w:r>
      <w:bookmarkEnd w:id="5"/>
    </w:p>
    <w:p w14:paraId="32503FBD" w14:textId="77777777" w:rsidR="009B3347" w:rsidRDefault="00000000" w:rsidP="00715663">
      <w:pPr>
        <w:pStyle w:val="Heading2"/>
        <w:spacing w:before="240" w:after="120"/>
        <w:jc w:val="both"/>
      </w:pPr>
      <w:r>
        <w:rPr>
          <w:b/>
          <w:bCs/>
        </w:rPr>
        <w:t>4.1 Composition</w:t>
      </w:r>
    </w:p>
    <w:p w14:paraId="4BA9FD4B" w14:textId="77777777" w:rsidR="009B3347" w:rsidRDefault="00000000" w:rsidP="00715663">
      <w:pPr>
        <w:spacing w:after="160"/>
        <w:jc w:val="both"/>
      </w:pPr>
      <w:r>
        <w:t>The Review Panel shall consist of recognized experts in information technology, AI, engineering, or data analytics, drawn from industry, academia, and research, with genuinely international representation. Each Panelist's name, credentials, and biography shall be published on the Institute's public website.</w:t>
      </w:r>
    </w:p>
    <w:p w14:paraId="5366F299" w14:textId="77777777" w:rsidR="009B3347" w:rsidRDefault="00000000" w:rsidP="00715663">
      <w:pPr>
        <w:pStyle w:val="Heading2"/>
        <w:spacing w:before="240" w:after="120"/>
        <w:jc w:val="both"/>
      </w:pPr>
      <w:r>
        <w:rPr>
          <w:b/>
          <w:bCs/>
        </w:rPr>
        <w:lastRenderedPageBreak/>
        <w:t>4.2 Qualifications</w:t>
      </w:r>
    </w:p>
    <w:p w14:paraId="2F75B4F2" w14:textId="77777777" w:rsidR="009B3347" w:rsidRDefault="00000000" w:rsidP="00715663">
      <w:pPr>
        <w:spacing w:after="160"/>
        <w:jc w:val="both"/>
      </w:pPr>
      <w:r>
        <w:t>Panelists shall themselves hold a record of recognized achievement in the field — evidenced by, for example, existing Fellow-grade standing in a comparable body, senior technical leadership, or a substantial record of peer-reviewed publication.</w:t>
      </w:r>
    </w:p>
    <w:p w14:paraId="51AB67D4" w14:textId="77777777" w:rsidR="009B3347" w:rsidRDefault="00000000" w:rsidP="00715663">
      <w:pPr>
        <w:pStyle w:val="Heading2"/>
        <w:spacing w:before="240" w:after="120"/>
        <w:jc w:val="both"/>
      </w:pPr>
      <w:r>
        <w:rPr>
          <w:b/>
          <w:bCs/>
        </w:rPr>
        <w:t>4.3 Appointment and Terms</w:t>
      </w:r>
    </w:p>
    <w:p w14:paraId="37BB0788" w14:textId="77777777" w:rsidR="009B3347" w:rsidRDefault="00000000" w:rsidP="00715663">
      <w:pPr>
        <w:spacing w:after="160"/>
        <w:jc w:val="both"/>
      </w:pPr>
      <w:r>
        <w:t>Panelists shall be appointed by the Officers for a three (3) year term.</w:t>
      </w:r>
    </w:p>
    <w:p w14:paraId="1D1CCC3E" w14:textId="77777777" w:rsidR="009B3347" w:rsidRDefault="00000000" w:rsidP="00715663">
      <w:pPr>
        <w:pStyle w:val="Heading2"/>
        <w:spacing w:before="240" w:after="120"/>
        <w:jc w:val="both"/>
      </w:pPr>
      <w:r>
        <w:rPr>
          <w:b/>
          <w:bCs/>
        </w:rPr>
        <w:t>4.4 Independence and Recusal</w:t>
      </w:r>
    </w:p>
    <w:p w14:paraId="74D42636" w14:textId="77777777" w:rsidR="009B3347" w:rsidRDefault="00000000" w:rsidP="00715663">
      <w:pPr>
        <w:spacing w:after="160"/>
        <w:jc w:val="both"/>
      </w:pPr>
      <w:r>
        <w:t>A Panelist shall disclose, and recuse from review of, any application in which the Panelist has a financial, employment, familial, or consulting relationship with the applicant. A pattern of undisclosed conflicts is grounds for removal under Section 4.8.</w:t>
      </w:r>
    </w:p>
    <w:p w14:paraId="09CACE98" w14:textId="77777777" w:rsidR="009B3347" w:rsidRDefault="00000000" w:rsidP="00715663">
      <w:pPr>
        <w:pStyle w:val="Heading2"/>
        <w:spacing w:before="240" w:after="120"/>
        <w:jc w:val="both"/>
      </w:pPr>
      <w:r>
        <w:rPr>
          <w:b/>
          <w:bCs/>
        </w:rPr>
        <w:t>4.5 Review Sub-Panels</w:t>
      </w:r>
    </w:p>
    <w:p w14:paraId="44646320" w14:textId="77777777" w:rsidR="009B3347" w:rsidRDefault="00000000" w:rsidP="00715663">
      <w:pPr>
        <w:spacing w:after="160"/>
        <w:jc w:val="both"/>
      </w:pPr>
      <w:r>
        <w:t>Each application shall be assigned to a rotating sub-panel of not fewer than three (3) and not more than five (5) Panelists. No single Panelist may render a determination alone.</w:t>
      </w:r>
    </w:p>
    <w:p w14:paraId="5A3BAE85" w14:textId="77777777" w:rsidR="009B3347" w:rsidRDefault="00000000" w:rsidP="00715663">
      <w:pPr>
        <w:pStyle w:val="Heading2"/>
        <w:spacing w:before="240" w:after="120"/>
        <w:jc w:val="both"/>
      </w:pPr>
      <w:r>
        <w:rPr>
          <w:b/>
          <w:bCs/>
        </w:rPr>
        <w:t>4.6 Determination</w:t>
      </w:r>
    </w:p>
    <w:p w14:paraId="3EA313BC" w14:textId="77777777" w:rsidR="009B3347" w:rsidRDefault="00000000" w:rsidP="00715663">
      <w:pPr>
        <w:spacing w:after="160"/>
        <w:jc w:val="both"/>
      </w:pPr>
      <w:r>
        <w:t>An Overall Fellowship Review determination requires the affirmative vote of a majority of the assigned sub-panel. Determinations, and the reasoning supporting them, shall be recorded in the Institute's confidential records.</w:t>
      </w:r>
    </w:p>
    <w:p w14:paraId="1138F0F6" w14:textId="77777777" w:rsidR="009B3347" w:rsidRDefault="00000000" w:rsidP="00715663">
      <w:pPr>
        <w:pStyle w:val="Heading2"/>
        <w:spacing w:before="240" w:after="120"/>
        <w:jc w:val="both"/>
      </w:pPr>
      <w:r>
        <w:rPr>
          <w:b/>
          <w:bCs/>
        </w:rPr>
        <w:t>4.7 Confidentiality</w:t>
      </w:r>
    </w:p>
    <w:p w14:paraId="5080C2CA" w14:textId="77777777" w:rsidR="009B3347" w:rsidRDefault="00000000" w:rsidP="00715663">
      <w:pPr>
        <w:spacing w:after="160"/>
        <w:jc w:val="both"/>
      </w:pPr>
      <w:r>
        <w:t>Panelists shall maintain the confidentiality of applicant materials and deliberations, except as required for recordkeeping under Section 4.6 or as the applicant authorizes in writing.</w:t>
      </w:r>
    </w:p>
    <w:p w14:paraId="76BDACC6" w14:textId="77777777" w:rsidR="009B3347" w:rsidRDefault="00000000" w:rsidP="00715663">
      <w:pPr>
        <w:pStyle w:val="Heading2"/>
        <w:spacing w:before="240" w:after="120"/>
        <w:jc w:val="both"/>
      </w:pPr>
      <w:r>
        <w:rPr>
          <w:b/>
          <w:bCs/>
        </w:rPr>
        <w:t>4.8 Removal</w:t>
      </w:r>
    </w:p>
    <w:p w14:paraId="659A2F9F" w14:textId="77777777" w:rsidR="009B3347" w:rsidRDefault="00000000" w:rsidP="00715663">
      <w:pPr>
        <w:spacing w:after="160"/>
        <w:jc w:val="both"/>
      </w:pPr>
      <w:r>
        <w:t>A Panelist may be removed by a two-thirds vote of the Officers for undisclosed conflicts of interest, breach of confidentiality, or conduct inconsistent with the Institute's Code of Conduct.</w:t>
      </w:r>
    </w:p>
    <w:p w14:paraId="6721E52A" w14:textId="77777777" w:rsidR="009B3347" w:rsidRDefault="00000000" w:rsidP="00715663">
      <w:pPr>
        <w:pStyle w:val="Heading1"/>
        <w:spacing w:before="360" w:after="200"/>
        <w:jc w:val="both"/>
      </w:pPr>
      <w:bookmarkStart w:id="6" w:name="_Toc236135196"/>
      <w:r>
        <w:t>Article V — Nomination and Application Process</w:t>
      </w:r>
      <w:bookmarkEnd w:id="6"/>
    </w:p>
    <w:p w14:paraId="1A616682" w14:textId="77777777" w:rsidR="009B3347" w:rsidRDefault="00000000" w:rsidP="00715663">
      <w:pPr>
        <w:pStyle w:val="Heading2"/>
        <w:spacing w:before="240" w:after="120"/>
        <w:jc w:val="both"/>
      </w:pPr>
      <w:r>
        <w:rPr>
          <w:b/>
          <w:bCs/>
        </w:rPr>
        <w:t>5.1 Nomination</w:t>
      </w:r>
    </w:p>
    <w:p w14:paraId="25A6526F" w14:textId="77777777" w:rsidR="009B3347" w:rsidRDefault="00000000" w:rsidP="00715663">
      <w:pPr>
        <w:spacing w:after="160"/>
        <w:jc w:val="both"/>
      </w:pPr>
      <w:r>
        <w:t>An individual may apply for Fellow status by self-nomination or nomination by an existing Ambassador.</w:t>
      </w:r>
    </w:p>
    <w:p w14:paraId="78B5318E" w14:textId="77777777" w:rsidR="009B3347" w:rsidRDefault="00000000" w:rsidP="00715663">
      <w:pPr>
        <w:pStyle w:val="Heading2"/>
        <w:spacing w:before="240" w:after="120"/>
        <w:jc w:val="both"/>
      </w:pPr>
      <w:r>
        <w:rPr>
          <w:b/>
          <w:bCs/>
        </w:rPr>
        <w:t>5.2 Supporter Endorsements</w:t>
      </w:r>
    </w:p>
    <w:p w14:paraId="5A3B0E7E" w14:textId="77777777" w:rsidR="009B3347" w:rsidRDefault="00000000" w:rsidP="00715663">
      <w:pPr>
        <w:spacing w:after="160"/>
        <w:jc w:val="both"/>
      </w:pPr>
      <w:r>
        <w:t>Each application must be accompanied by the endorsement of two supporters: (a) one professional verifier with direct, first-hand knowledge of the applicant's work; and (b) one independent recognized expert external to the applicant's current employer. Neither supporter may be a subordinate of the applicant, a close relative of the applicant, a paid preparer of the application, or a recipient of any referral benefit tied to the application. Each supporter shall submit their endorsement directly and confidentially to the Institute.</w:t>
      </w:r>
    </w:p>
    <w:p w14:paraId="26A7E5FF" w14:textId="77777777" w:rsidR="009B3347" w:rsidRDefault="00000000" w:rsidP="00715663">
      <w:pPr>
        <w:pStyle w:val="Heading2"/>
        <w:spacing w:before="240" w:after="120"/>
        <w:jc w:val="both"/>
      </w:pPr>
      <w:r>
        <w:rPr>
          <w:b/>
          <w:bCs/>
        </w:rPr>
        <w:t>5.3 Application Contents</w:t>
      </w:r>
    </w:p>
    <w:p w14:paraId="122F2289" w14:textId="77777777" w:rsidR="009B3347" w:rsidRDefault="00000000" w:rsidP="00715663">
      <w:pPr>
        <w:spacing w:after="160"/>
        <w:jc w:val="both"/>
      </w:pPr>
      <w:r>
        <w:lastRenderedPageBreak/>
        <w:t>An application shall include, at minimum, evidence addressing each claimed eligibility category under Section 3.2, a professional biography, and the supporter endorsements under Section 5.2.</w:t>
      </w:r>
    </w:p>
    <w:p w14:paraId="354C8C68" w14:textId="77777777" w:rsidR="009B3347" w:rsidRDefault="00000000" w:rsidP="00715663">
      <w:pPr>
        <w:pStyle w:val="Heading2"/>
        <w:spacing w:before="240" w:after="120"/>
        <w:jc w:val="both"/>
      </w:pPr>
      <w:r>
        <w:rPr>
          <w:b/>
          <w:bCs/>
        </w:rPr>
        <w:t>5.4 Assessment Fee</w:t>
      </w:r>
    </w:p>
    <w:p w14:paraId="54B332D1" w14:textId="77777777" w:rsidR="009B3347" w:rsidRDefault="00000000" w:rsidP="00715663">
      <w:pPr>
        <w:spacing w:after="160"/>
        <w:jc w:val="both"/>
      </w:pPr>
      <w:r>
        <w:t>Each application must be accompanied by a non-refundable assessment fee, in an amount set annually by the Officers, covering the cost of Panel review. The assessment fee is due regardless of outcome and confers no entitlement to a particular result.</w:t>
      </w:r>
    </w:p>
    <w:p w14:paraId="79B16F3D" w14:textId="77777777" w:rsidR="009B3347" w:rsidRDefault="00000000" w:rsidP="00715663">
      <w:pPr>
        <w:pStyle w:val="Heading2"/>
        <w:spacing w:before="240" w:after="120"/>
        <w:jc w:val="both"/>
      </w:pPr>
      <w:r>
        <w:rPr>
          <w:b/>
          <w:bCs/>
        </w:rPr>
        <w:t>5.5 Review Timeline</w:t>
      </w:r>
    </w:p>
    <w:p w14:paraId="270565E8" w14:textId="77777777" w:rsidR="009B3347" w:rsidRDefault="00000000" w:rsidP="00715663">
      <w:pPr>
        <w:spacing w:after="160"/>
        <w:jc w:val="both"/>
      </w:pPr>
      <w:r>
        <w:t>The Institute shall endeavor to complete review and notify the applicant of the outcome within a period set by the Officers and published on the Institute's website.</w:t>
      </w:r>
    </w:p>
    <w:p w14:paraId="15233A98" w14:textId="77777777" w:rsidR="009B3347" w:rsidRDefault="00000000" w:rsidP="00715663">
      <w:pPr>
        <w:pStyle w:val="Heading2"/>
        <w:spacing w:before="240" w:after="120"/>
        <w:jc w:val="both"/>
      </w:pPr>
      <w:r>
        <w:rPr>
          <w:b/>
          <w:bCs/>
        </w:rPr>
        <w:t>5.6 Notification and Appeal</w:t>
      </w:r>
    </w:p>
    <w:p w14:paraId="038B8D5F" w14:textId="77777777" w:rsidR="009B3347" w:rsidRDefault="00000000" w:rsidP="00715663">
      <w:pPr>
        <w:spacing w:after="160"/>
        <w:jc w:val="both"/>
      </w:pPr>
      <w:r>
        <w:t>Applicants shall be notified in writing of the outcome. An applicant declined at the Overall Fellowship Review stage may request one reconsideration by a newly constituted sub-panel, subject to procedures set by the Officers.</w:t>
      </w:r>
    </w:p>
    <w:p w14:paraId="1BBB392D" w14:textId="77777777" w:rsidR="009B3347" w:rsidRDefault="00000000" w:rsidP="00715663">
      <w:pPr>
        <w:pStyle w:val="Heading2"/>
        <w:spacing w:before="240" w:after="120"/>
        <w:jc w:val="both"/>
      </w:pPr>
      <w:r>
        <w:rPr>
          <w:b/>
          <w:bCs/>
        </w:rPr>
        <w:t>5.7 Annual Fee</w:t>
      </w:r>
    </w:p>
    <w:p w14:paraId="788D27A5" w14:textId="77777777" w:rsidR="009B3347" w:rsidRDefault="00000000" w:rsidP="00715663">
      <w:pPr>
        <w:spacing w:after="160"/>
        <w:jc w:val="both"/>
      </w:pPr>
      <w:r>
        <w:t>Upon admission to Fellow status, an annual fee, set by the Officers, is due to maintain active status. Fellow status lapses upon non-payment, subject to a grace period set by the Officers.</w:t>
      </w:r>
    </w:p>
    <w:p w14:paraId="5A36DCE6" w14:textId="77777777" w:rsidR="009B3347" w:rsidRDefault="00000000" w:rsidP="00715663">
      <w:pPr>
        <w:pStyle w:val="Heading1"/>
        <w:spacing w:before="360" w:after="200"/>
        <w:jc w:val="both"/>
      </w:pPr>
      <w:bookmarkStart w:id="7" w:name="_Toc236135197"/>
      <w:r>
        <w:t>Article VI — Institute Administration</w:t>
      </w:r>
      <w:bookmarkEnd w:id="7"/>
    </w:p>
    <w:p w14:paraId="05C55C6B" w14:textId="77777777" w:rsidR="009B3347" w:rsidRDefault="00000000" w:rsidP="00715663">
      <w:pPr>
        <w:pStyle w:val="Heading2"/>
        <w:spacing w:before="240" w:after="120"/>
        <w:jc w:val="both"/>
      </w:pPr>
      <w:r>
        <w:rPr>
          <w:b/>
          <w:bCs/>
        </w:rPr>
        <w:t>6.1 Administration</w:t>
      </w:r>
    </w:p>
    <w:p w14:paraId="7F7727D2" w14:textId="77777777" w:rsidR="009B3347" w:rsidRDefault="00000000" w:rsidP="00715663">
      <w:pPr>
        <w:spacing w:after="160"/>
        <w:jc w:val="both"/>
      </w:pPr>
      <w:r>
        <w:t xml:space="preserve">AIITE is administered by its Officers, who are responsible for the overall governance, strategy, and fiduciary oversight of the Institute, including approval of the annual budget and fee schedule, appointment of Review Panelists, approval of Council charters under Article IX, and adoption of policies not otherwise reserved to the Review Panel under Article IV.</w:t>
      </w:r>
    </w:p>
    <w:p w14:paraId="1A2B3C01" w14:textId="77777777" w:rsidR="009B3347" w:rsidRDefault="00000000" w:rsidP="00715663">
      <w:pPr>
        <w:pStyle w:val="Heading2"/>
        <w:spacing w:before="240" w:after="120"/>
        <w:jc w:val="both"/>
      </w:pPr>
      <w:r>
        <w:rPr>
          <w:b/>
          <w:bCs/>
        </w:rPr>
        <w:t>6.2 No Vote on Individual Applications</w:t>
      </w:r>
    </w:p>
    <w:p w14:paraId="1A2B3C02" w14:textId="77777777" w:rsidR="009B3347" w:rsidRDefault="00000000" w:rsidP="00715663">
      <w:pPr>
        <w:spacing w:after="160"/>
        <w:jc w:val="both"/>
      </w:pPr>
      <w:r>
        <w:t xml:space="preserve">The Officers shall have no vote on any individual application for Fellow status. Determinations of Fellow status rest solely with the Review Panel under Article IV.</w:t>
      </w:r>
    </w:p>
    <w:p w14:paraId="193F90E9" w14:textId="77777777" w:rsidR="009B3347" w:rsidRDefault="00000000" w:rsidP="00715663">
      <w:pPr>
        <w:pStyle w:val="Heading2"/>
        <w:spacing w:before="240" w:after="120"/>
        <w:jc w:val="both"/>
      </w:pPr>
      <w:r>
        <w:rPr>
          <w:b/>
          <w:bCs/>
        </w:rPr>
        <w:t>6.3 Composition and Independence</w:t>
      </w:r>
    </w:p>
    <w:p w14:paraId="36A70A98" w14:textId="77777777" w:rsidR="009B3347" w:rsidRDefault="00000000" w:rsidP="00715663">
      <w:pPr>
        <w:spacing w:after="160"/>
        <w:jc w:val="both"/>
      </w:pPr>
      <w:r>
        <w:t xml:space="preserve">The Officers shall consist of not fewer than five (5) and not more than eleven (11) individuals, who shall have no employment, ownership, or financial relationship with AIITE. A majority of the Officers shall have no employment, ownership, or consulting relationship with any organization that prepares or files immigration, licensing, or other credentialing petitions, as a direct safeguard of the independence of the Review Panel process.</w:t>
      </w:r>
    </w:p>
    <w:p w14:paraId="414E3BCA" w14:textId="77777777" w:rsidR="009B3347" w:rsidRDefault="00000000" w:rsidP="00715663">
      <w:pPr>
        <w:pStyle w:val="Heading2"/>
        <w:spacing w:before="240" w:after="120"/>
        <w:jc w:val="both"/>
      </w:pPr>
      <w:r>
        <w:rPr>
          <w:b/>
          <w:bCs/>
        </w:rPr>
        <w:t>6.4 Election and Terms</w:t>
      </w:r>
    </w:p>
    <w:p w14:paraId="715894AA" w14:textId="77777777" w:rsidR="009B3347" w:rsidRDefault="00000000" w:rsidP="00715663">
      <w:pPr>
        <w:spacing w:after="160"/>
        <w:jc w:val="both"/>
      </w:pPr>
      <w:r>
        <w:t xml:space="preserve">Officers shall be elected for staggered terms, as set forth in policies adopted by the Officers, consistent with applicable nonprofit corporation law.</w:t>
      </w:r>
    </w:p>
    <w:p w14:paraId="6E4C2741" w14:textId="77777777" w:rsidR="009B3347" w:rsidRDefault="00000000" w:rsidP="00715663">
      <w:pPr>
        <w:pStyle w:val="Heading2"/>
        <w:spacing w:before="240" w:after="120"/>
        <w:jc w:val="both"/>
      </w:pPr>
      <w:r>
        <w:rPr>
          <w:b/>
          <w:bCs/>
        </w:rPr>
        <w:t>6.5 Titled Roles</w:t>
      </w:r>
    </w:p>
    <w:p w14:paraId="7A8ADF39" w14:textId="77777777" w:rsidR="009B3347" w:rsidRDefault="00000000" w:rsidP="00715663">
      <w:pPr>
        <w:spacing w:after="160"/>
        <w:jc w:val="both"/>
      </w:pPr>
      <w:r>
        <w:t xml:space="preserve">The Officers shall designate from among their number a Chair, Vice Chair, Secretary, and Treasurer, with duties customary to those offices.</w:t>
      </w:r>
    </w:p>
    <w:p w14:paraId="766B77A1" w14:textId="77777777" w:rsidR="00C42380" w:rsidRDefault="00C42380">
      <w:pPr>
        <w:rPr>
          <w:b/>
          <w:bCs/>
          <w:color w:val="2E74B5"/>
          <w:sz w:val="26"/>
          <w:szCs w:val="26"/>
        </w:rPr>
      </w:pPr>
      <w:r>
        <w:rPr>
          <w:b/>
          <w:bCs/>
        </w:rPr>
        <w:br w:type="page"/>
      </w:r>
    </w:p>
    <w:p w14:paraId="3CA27C3A" w14:textId="2E044F85" w:rsidR="009B3347" w:rsidRDefault="00000000" w:rsidP="00715663">
      <w:pPr>
        <w:pStyle w:val="Heading2"/>
        <w:spacing w:before="240" w:after="120"/>
        <w:jc w:val="both"/>
      </w:pPr>
      <w:r>
        <w:rPr>
          <w:b/>
          <w:bCs/>
        </w:rPr>
        <w:lastRenderedPageBreak/>
        <w:t>6.6 Meetings and Quorum</w:t>
      </w:r>
    </w:p>
    <w:p w14:paraId="408493EA" w14:textId="77777777" w:rsidR="009B3347" w:rsidRDefault="00000000" w:rsidP="00715663">
      <w:pPr>
        <w:spacing w:after="160"/>
        <w:jc w:val="both"/>
      </w:pPr>
      <w:r>
        <w:t xml:space="preserve">The Officers shall meet no less than quarterly. A majority of Officers then in office shall constitute a quorum.</w:t>
      </w:r>
    </w:p>
    <w:p w14:paraId="392B3F7D" w14:textId="77777777" w:rsidR="009B3347" w:rsidRDefault="00000000" w:rsidP="00715663">
      <w:pPr>
        <w:pStyle w:val="Heading2"/>
        <w:spacing w:before="240" w:after="120"/>
        <w:jc w:val="both"/>
      </w:pPr>
      <w:r>
        <w:rPr>
          <w:b/>
          <w:bCs/>
        </w:rPr>
        <w:t>6.7 Vacancies and Removal</w:t>
      </w:r>
    </w:p>
    <w:p w14:paraId="4B2F8330" w14:textId="77777777" w:rsidR="009B3347" w:rsidRDefault="00000000" w:rsidP="00715663">
      <w:pPr>
        <w:spacing w:after="160"/>
        <w:jc w:val="both"/>
      </w:pPr>
      <w:r>
        <w:t xml:space="preserve">Vacancies shall be filled by majority vote of the remaining Officers. An Officer may be removed for cause by a two-thirds vote of the remaining Officers.</w:t>
      </w:r>
    </w:p>
    <w:p w14:paraId="78C8AE0A" w14:textId="77777777" w:rsidR="009B3347" w:rsidRDefault="00000000" w:rsidP="00715663">
      <w:pPr>
        <w:pStyle w:val="Heading2"/>
        <w:spacing w:before="240" w:after="120"/>
        <w:jc w:val="both"/>
      </w:pPr>
      <w:r>
        <w:rPr>
          <w:b/>
          <w:bCs/>
        </w:rPr>
        <w:t>6.8 Compensation</w:t>
      </w:r>
    </w:p>
    <w:p w14:paraId="45C99B29" w14:textId="77777777" w:rsidR="009B3347" w:rsidRDefault="00000000" w:rsidP="00715663">
      <w:pPr>
        <w:spacing w:after="160"/>
        <w:jc w:val="both"/>
      </w:pPr>
      <w:r>
        <w:t xml:space="preserve">Officers shall serve without compensation, other than reimbursement of reasonable expenses incurred in service to the Institute.</w:t>
      </w:r>
    </w:p>
    <w:p w14:paraId="62525287" w14:textId="77777777" w:rsidR="009B3347" w:rsidRDefault="00000000" w:rsidP="00715663">
      <w:pPr>
        <w:pStyle w:val="Heading1"/>
        <w:spacing w:before="360" w:after="200"/>
        <w:jc w:val="both"/>
      </w:pPr>
      <w:bookmarkStart w:id="8" w:name="_Toc236135198"/>
      <w:r>
        <w:t>Article VII — Conflicts of Interest and Independence</w:t>
      </w:r>
      <w:bookmarkEnd w:id="8"/>
    </w:p>
    <w:p w14:paraId="0B34EEB2" w14:textId="77777777" w:rsidR="009B3347" w:rsidRDefault="00000000" w:rsidP="00715663">
      <w:pPr>
        <w:pStyle w:val="Heading2"/>
        <w:spacing w:before="240" w:after="120"/>
        <w:jc w:val="both"/>
      </w:pPr>
      <w:r>
        <w:rPr>
          <w:b/>
          <w:bCs/>
        </w:rPr>
        <w:t>7.1 General Policy</w:t>
      </w:r>
    </w:p>
    <w:p w14:paraId="08B5DA7D" w14:textId="77777777" w:rsidR="009B3347" w:rsidRDefault="00000000" w:rsidP="00715663">
      <w:pPr>
        <w:spacing w:after="160"/>
        <w:jc w:val="both"/>
      </w:pPr>
      <w:r>
        <w:t>The credibility of the Institute depends on the actual, not merely stated, independence of its Fellow Selection process from any commercial or professional interest in a particular outcome. This Article is binding on all Officers, Panelists, and staff.</w:t>
      </w:r>
    </w:p>
    <w:p w14:paraId="438BAD40" w14:textId="77777777" w:rsidR="009B3347" w:rsidRDefault="00000000" w:rsidP="00715663">
      <w:pPr>
        <w:pStyle w:val="Heading2"/>
        <w:spacing w:before="240" w:after="120"/>
        <w:jc w:val="both"/>
      </w:pPr>
      <w:r>
        <w:rPr>
          <w:b/>
          <w:bCs/>
        </w:rPr>
        <w:t>7.2 Disclosure</w:t>
      </w:r>
    </w:p>
    <w:p w14:paraId="608240CC" w14:textId="77777777" w:rsidR="009B3347" w:rsidRDefault="00000000" w:rsidP="00715663">
      <w:pPr>
        <w:spacing w:after="160"/>
        <w:jc w:val="both"/>
      </w:pPr>
      <w:r>
        <w:t>Each Officer and Panelist shall annually disclose, in writing, all business, employment, and consulting relationships that could reasonably bear on their duties to the Institute.</w:t>
      </w:r>
    </w:p>
    <w:p w14:paraId="7FFCB60F" w14:textId="77777777" w:rsidR="009B3347" w:rsidRDefault="00000000" w:rsidP="00715663">
      <w:pPr>
        <w:pStyle w:val="Heading2"/>
        <w:spacing w:before="240" w:after="120"/>
        <w:jc w:val="both"/>
      </w:pPr>
      <w:r>
        <w:rPr>
          <w:b/>
          <w:bCs/>
        </w:rPr>
        <w:t>7.3 Recusal</w:t>
      </w:r>
    </w:p>
    <w:p w14:paraId="1CE1697E" w14:textId="77777777" w:rsidR="009B3347" w:rsidRDefault="00000000" w:rsidP="00715663">
      <w:pPr>
        <w:spacing w:after="160"/>
        <w:jc w:val="both"/>
      </w:pPr>
      <w:r>
        <w:t>Any individual subject to this Article shall recuse from any deliberation, vote, or review concerning a matter in which they, or an entity with which they are affiliated, has a direct or indirect interest.</w:t>
      </w:r>
    </w:p>
    <w:p w14:paraId="0E98CCFC" w14:textId="77777777" w:rsidR="009B3347" w:rsidRDefault="00000000" w:rsidP="00715663">
      <w:pPr>
        <w:pStyle w:val="Heading2"/>
        <w:spacing w:before="240" w:after="120"/>
        <w:jc w:val="both"/>
      </w:pPr>
      <w:r>
        <w:rPr>
          <w:b/>
          <w:bCs/>
        </w:rPr>
        <w:t>7.4 Related-Party Transactions</w:t>
      </w:r>
    </w:p>
    <w:p w14:paraId="16FC9A98" w14:textId="77777777" w:rsidR="009B3347" w:rsidRDefault="00000000" w:rsidP="00715663">
      <w:pPr>
        <w:spacing w:after="160"/>
        <w:jc w:val="both"/>
      </w:pPr>
      <w:r>
        <w:t>Any contract or transaction between the Institute and an entity affiliated with an Officer or Panelist requires disclosure to, and approval by, disinterested Officers, consistent with applicable nonprofit corporation law.</w:t>
      </w:r>
    </w:p>
    <w:p w14:paraId="73C371C9" w14:textId="77777777" w:rsidR="009B3347" w:rsidRDefault="00000000" w:rsidP="00715663">
      <w:pPr>
        <w:pStyle w:val="Heading2"/>
        <w:spacing w:before="240" w:after="120"/>
        <w:jc w:val="both"/>
      </w:pPr>
      <w:r>
        <w:rPr>
          <w:b/>
          <w:bCs/>
        </w:rPr>
        <w:t>7.5 Petition and Credentialing Conflicts</w:t>
      </w:r>
    </w:p>
    <w:p w14:paraId="2BF1318B" w14:textId="77777777" w:rsidR="009B3347" w:rsidRDefault="00000000" w:rsidP="00715663">
      <w:pPr>
        <w:spacing w:after="160"/>
        <w:jc w:val="both"/>
      </w:pPr>
      <w:r>
        <w:t>Without limiting Section 7.2, each Officer and Panelist shall disclose any relationship involving the preparation, review, filing, or other support of immigration, licensing, or other credentialing petitions or applications for which Fellow status or any other Institute designation may be offered or relied upon as supporting evidence. An Officer or Panelist who provides such services professionally, or whose immediate family member or employer does so, shall recuse from any Fellow application or Panel matter connected to that professional relationship, and shall not participate in setting or amending the eligibility categories under Article III while such a relationship is active, except as part of a vote from which they are recused consistent with this Article.</w:t>
      </w:r>
    </w:p>
    <w:p w14:paraId="5F066F32" w14:textId="77777777" w:rsidR="009B3347" w:rsidRDefault="00000000" w:rsidP="00715663">
      <w:pPr>
        <w:pStyle w:val="Heading1"/>
        <w:spacing w:before="360" w:after="200"/>
        <w:jc w:val="both"/>
      </w:pPr>
      <w:bookmarkStart w:id="9" w:name="_Toc236135199"/>
      <w:r>
        <w:lastRenderedPageBreak/>
        <w:t>Article VIII — Meetings of the Institute</w:t>
      </w:r>
      <w:bookmarkEnd w:id="9"/>
    </w:p>
    <w:p w14:paraId="14E4B8DE" w14:textId="77777777" w:rsidR="009B3347" w:rsidRDefault="00000000" w:rsidP="00715663">
      <w:pPr>
        <w:pStyle w:val="Heading2"/>
        <w:spacing w:before="240" w:after="120"/>
        <w:jc w:val="both"/>
      </w:pPr>
      <w:r>
        <w:rPr>
          <w:b/>
          <w:bCs/>
        </w:rPr>
        <w:t>8.1 Annual Meeting</w:t>
      </w:r>
    </w:p>
    <w:p w14:paraId="2594DF1D" w14:textId="77777777" w:rsidR="009B3347" w:rsidRDefault="00000000" w:rsidP="00715663">
      <w:pPr>
        <w:spacing w:after="160"/>
        <w:jc w:val="both"/>
      </w:pPr>
      <w:r>
        <w:t>The Institute shall hold an annual meeting, open to Ambassadors and Fellows, at a time and place (which may be virtual) set by the Officers.</w:t>
      </w:r>
    </w:p>
    <w:p w14:paraId="5B40136E" w14:textId="77777777" w:rsidR="009B3347" w:rsidRDefault="00000000" w:rsidP="00715663">
      <w:pPr>
        <w:pStyle w:val="Heading2"/>
        <w:spacing w:before="240" w:after="120"/>
        <w:jc w:val="both"/>
      </w:pPr>
      <w:r>
        <w:rPr>
          <w:b/>
          <w:bCs/>
        </w:rPr>
        <w:t>8.2 Notice</w:t>
      </w:r>
    </w:p>
    <w:p w14:paraId="44365022" w14:textId="77777777" w:rsidR="009B3347" w:rsidRDefault="00000000" w:rsidP="00715663">
      <w:pPr>
        <w:spacing w:after="160"/>
        <w:jc w:val="both"/>
      </w:pPr>
      <w:r>
        <w:t>Notice of the annual meeting shall be provided to all Ambassadors and Fellows not less than thirty (30) days in advance.</w:t>
      </w:r>
    </w:p>
    <w:p w14:paraId="72ACF4C7" w14:textId="77777777" w:rsidR="009B3347" w:rsidRDefault="00000000" w:rsidP="00715663">
      <w:pPr>
        <w:pStyle w:val="Heading2"/>
        <w:spacing w:before="240" w:after="120"/>
        <w:jc w:val="both"/>
      </w:pPr>
      <w:r>
        <w:rPr>
          <w:b/>
          <w:bCs/>
        </w:rPr>
        <w:t>8.3 Quorum</w:t>
      </w:r>
    </w:p>
    <w:p w14:paraId="70375A9F" w14:textId="77777777" w:rsidR="009B3347" w:rsidRDefault="00000000" w:rsidP="00715663">
      <w:pPr>
        <w:spacing w:after="160"/>
        <w:jc w:val="both"/>
      </w:pPr>
      <w:r>
        <w:t>Quorum requirements for any vote of the general membership, if applicable under policies adopted by the Officers, shall be set forth in such policies.</w:t>
      </w:r>
    </w:p>
    <w:p w14:paraId="169C67FF" w14:textId="77777777" w:rsidR="009B3347" w:rsidRDefault="00000000" w:rsidP="00715663">
      <w:pPr>
        <w:pStyle w:val="Heading1"/>
        <w:spacing w:before="360" w:after="200"/>
        <w:jc w:val="both"/>
      </w:pPr>
      <w:bookmarkStart w:id="10" w:name="_Toc236135200"/>
      <w:r>
        <w:t>Article IX — Councils</w:t>
      </w:r>
      <w:bookmarkEnd w:id="10"/>
    </w:p>
    <w:p w14:paraId="094E5A36" w14:textId="77777777" w:rsidR="009B3347" w:rsidRDefault="00000000" w:rsidP="00715663">
      <w:pPr>
        <w:pStyle w:val="Heading2"/>
        <w:spacing w:before="240" w:after="120"/>
        <w:jc w:val="both"/>
      </w:pPr>
      <w:r>
        <w:rPr>
          <w:b/>
          <w:bCs/>
        </w:rPr>
        <w:t>9.1 Establishment</w:t>
      </w:r>
    </w:p>
    <w:p w14:paraId="1DE7826A" w14:textId="77777777" w:rsidR="009B3347" w:rsidRDefault="00000000" w:rsidP="00715663">
      <w:pPr>
        <w:spacing w:after="160"/>
        <w:jc w:val="both"/>
      </w:pPr>
      <w:r>
        <w:t>The Officers may establish AIITE Councils, each focused on a defined technical or professional discipline (for example, artificial intelligence and machine learning, cybersecurity, cloud and infrastructure, or data and analytics), to advance knowledge-sharing, applied practice, and professional dialogue within that discipline.</w:t>
      </w:r>
    </w:p>
    <w:p w14:paraId="5582EA35" w14:textId="77777777" w:rsidR="009B3347" w:rsidRDefault="00000000" w:rsidP="00715663">
      <w:pPr>
        <w:pStyle w:val="Heading2"/>
        <w:spacing w:before="240" w:after="120"/>
        <w:jc w:val="both"/>
      </w:pPr>
      <w:r>
        <w:rPr>
          <w:b/>
          <w:bCs/>
        </w:rPr>
        <w:t>9.2 Council Composition</w:t>
      </w:r>
    </w:p>
    <w:p w14:paraId="1A5FDAF5" w14:textId="77777777" w:rsidR="009B3347" w:rsidRDefault="00000000" w:rsidP="00715663">
      <w:pPr>
        <w:spacing w:after="160"/>
        <w:jc w:val="both"/>
      </w:pPr>
      <w:r>
        <w:t>Each Council shall be formed from, and chaired by, Fellows in good standing. A Council may invite Ambassadors to participate in its working groups, publications, and events, but formal Council membership and leadership shall be limited to Fellows.</w:t>
      </w:r>
    </w:p>
    <w:p w14:paraId="6A5FAB77" w14:textId="77777777" w:rsidR="009B3347" w:rsidRDefault="00000000" w:rsidP="00715663">
      <w:pPr>
        <w:pStyle w:val="Heading2"/>
        <w:spacing w:before="240" w:after="120"/>
        <w:jc w:val="both"/>
      </w:pPr>
      <w:r>
        <w:rPr>
          <w:b/>
          <w:bCs/>
        </w:rPr>
        <w:t>9.3 Council Charters and Dissolution</w:t>
      </w:r>
    </w:p>
    <w:p w14:paraId="7341D27D" w14:textId="77777777" w:rsidR="009B3347" w:rsidRDefault="00000000" w:rsidP="00715663">
      <w:pPr>
        <w:spacing w:after="160"/>
        <w:jc w:val="both"/>
      </w:pPr>
      <w:r>
        <w:t>Each Council shall operate under a charter approved by the Officers, setting out its scope, leadership, and activities. The Officers may dissolve or consolidate a Council that has ceased to be active.</w:t>
      </w:r>
    </w:p>
    <w:p w14:paraId="3F34F295" w14:textId="77777777" w:rsidR="009B3347" w:rsidRDefault="00000000" w:rsidP="00715663">
      <w:pPr>
        <w:pStyle w:val="Heading2"/>
        <w:spacing w:before="240" w:after="120"/>
        <w:jc w:val="both"/>
      </w:pPr>
      <w:r>
        <w:rPr>
          <w:b/>
          <w:bCs/>
        </w:rPr>
        <w:t>9.4 No Governing Authority</w:t>
      </w:r>
    </w:p>
    <w:p w14:paraId="6D4B0AA1" w14:textId="77777777" w:rsidR="009B3347" w:rsidRDefault="00000000" w:rsidP="00715663">
      <w:pPr>
        <w:spacing w:after="160"/>
        <w:jc w:val="both"/>
      </w:pPr>
      <w:r>
        <w:t>Councils shall have no authority over Fellow Selection, Membership, or the governance of the Institute, which remain vested exclusively in the Officers and the Review Panel under Articles IV and VI.</w:t>
      </w:r>
    </w:p>
    <w:p w14:paraId="72E3ADC8" w14:textId="77777777" w:rsidR="009B3347" w:rsidRDefault="00000000" w:rsidP="00715663">
      <w:pPr>
        <w:pStyle w:val="Heading1"/>
        <w:spacing w:before="360" w:after="200"/>
        <w:jc w:val="both"/>
      </w:pPr>
      <w:bookmarkStart w:id="11" w:name="_Toc236135201"/>
      <w:r>
        <w:t>Article X — Code of Conduct and Discipline</w:t>
      </w:r>
      <w:bookmarkEnd w:id="11"/>
    </w:p>
    <w:p w14:paraId="238ED60E" w14:textId="77777777" w:rsidR="009B3347" w:rsidRDefault="00000000" w:rsidP="00715663">
      <w:pPr>
        <w:pStyle w:val="Heading2"/>
        <w:spacing w:before="240" w:after="120"/>
        <w:jc w:val="both"/>
      </w:pPr>
      <w:r>
        <w:rPr>
          <w:b/>
          <w:bCs/>
        </w:rPr>
        <w:t>10.1 Code of Professional Conduct</w:t>
      </w:r>
    </w:p>
    <w:p w14:paraId="39B6AF6D" w14:textId="77777777" w:rsidR="009B3347" w:rsidRDefault="00000000" w:rsidP="00715663">
      <w:pPr>
        <w:spacing w:after="160"/>
        <w:jc w:val="both"/>
      </w:pPr>
      <w:r>
        <w:t>All Ambassadors and Fellows shall adhere to a Code of Professional Conduct adopted by the Officers, addressing at minimum honesty in representations to the Institute, ethical use of the Fellow designation, and prohibition on misrepresenting Institute affiliation.</w:t>
      </w:r>
    </w:p>
    <w:p w14:paraId="3074C85B" w14:textId="77777777" w:rsidR="009B3347" w:rsidRDefault="00000000" w:rsidP="00715663">
      <w:pPr>
        <w:pStyle w:val="Heading2"/>
        <w:spacing w:before="240" w:after="120"/>
        <w:jc w:val="both"/>
      </w:pPr>
      <w:r>
        <w:rPr>
          <w:b/>
          <w:bCs/>
        </w:rPr>
        <w:lastRenderedPageBreak/>
        <w:t>10.2 Grounds for Discipline</w:t>
      </w:r>
    </w:p>
    <w:p w14:paraId="0B372A25" w14:textId="77777777" w:rsidR="009B3347" w:rsidRDefault="00000000" w:rsidP="00715663">
      <w:pPr>
        <w:spacing w:after="160"/>
        <w:jc w:val="both"/>
      </w:pPr>
      <w:r>
        <w:t>Grounds for suspension or revocation of Membership or Fellow status include material misrepresentation in an application, violation of the Code of Professional Conduct, or conduct that brings the Institute into disrepute.</w:t>
      </w:r>
    </w:p>
    <w:p w14:paraId="5E58942C" w14:textId="77777777" w:rsidR="009B3347" w:rsidRDefault="00000000" w:rsidP="00715663">
      <w:pPr>
        <w:pStyle w:val="Heading2"/>
        <w:spacing w:before="240" w:after="120"/>
        <w:jc w:val="both"/>
      </w:pPr>
      <w:r>
        <w:rPr>
          <w:b/>
          <w:bCs/>
        </w:rPr>
        <w:t>10.3 Process</w:t>
      </w:r>
    </w:p>
    <w:p w14:paraId="073947CF" w14:textId="77777777" w:rsidR="009B3347" w:rsidRDefault="00000000" w:rsidP="00715663">
      <w:pPr>
        <w:spacing w:after="160"/>
        <w:jc w:val="both"/>
      </w:pPr>
      <w:r>
        <w:t>Except as provided in Section 2.6 for revocation based on a finding of material misrepresentation by the Review Panel, the Officers shall, prior to suspending or revoking Membership or Fellow status: (a) provide the affected individual written notice of the specific grounds for the proposed action not less than fourteen (14) days before any hearing or vote; (b) afford the individual a reasonable opportunity to respond in writing and, upon request, to be heard; and (c) decide the matter by the vote required under policies adopted by the Officers.</w:t>
      </w:r>
    </w:p>
    <w:p w14:paraId="3B849249" w14:textId="77777777" w:rsidR="009B3347" w:rsidRDefault="00000000" w:rsidP="00715663">
      <w:pPr>
        <w:pStyle w:val="Heading2"/>
        <w:spacing w:before="240" w:after="120"/>
        <w:jc w:val="both"/>
      </w:pPr>
      <w:r>
        <w:rPr>
          <w:b/>
          <w:bCs/>
        </w:rPr>
        <w:t>10.4 Appeal</w:t>
      </w:r>
    </w:p>
    <w:p w14:paraId="67ECDC4D" w14:textId="77777777" w:rsidR="009B3347" w:rsidRDefault="00000000" w:rsidP="00715663">
      <w:pPr>
        <w:spacing w:after="160"/>
        <w:jc w:val="both"/>
      </w:pPr>
      <w:r>
        <w:t>An Ambassador or Fellow subject to discipline may appeal to the Officers by written notice delivered within thirty (30) days of the determination. The Officers' determination on appeal shall be final.</w:t>
      </w:r>
    </w:p>
    <w:p w14:paraId="04CC5164" w14:textId="77777777" w:rsidR="009B3347" w:rsidRDefault="00000000" w:rsidP="00715663">
      <w:pPr>
        <w:pStyle w:val="Heading1"/>
        <w:spacing w:before="360" w:after="200"/>
        <w:jc w:val="both"/>
      </w:pPr>
      <w:bookmarkStart w:id="12" w:name="_Toc236135202"/>
      <w:r>
        <w:t>Article XI — Dues, Fees, and Finances</w:t>
      </w:r>
      <w:bookmarkEnd w:id="12"/>
    </w:p>
    <w:p w14:paraId="2D5B0D85" w14:textId="77777777" w:rsidR="009B3347" w:rsidRDefault="00000000" w:rsidP="00715663">
      <w:pPr>
        <w:pStyle w:val="Heading2"/>
        <w:spacing w:before="240" w:after="120"/>
        <w:jc w:val="both"/>
      </w:pPr>
      <w:r>
        <w:rPr>
          <w:b/>
          <w:bCs/>
        </w:rPr>
        <w:t>11.1 Fee Schedule</w:t>
      </w:r>
    </w:p>
    <w:p w14:paraId="192276E5" w14:textId="77777777" w:rsidR="009B3347" w:rsidRDefault="00000000" w:rsidP="00715663">
      <w:pPr>
        <w:spacing w:after="160"/>
        <w:jc w:val="both"/>
      </w:pPr>
      <w:r>
        <w:t>The Officers shall set and may amend, no more than annually absent extraordinary circumstances, the fee schedule for Ambassadorship (which shall remain no-cost), Fellow assessment fees, and Fellow annual fees.</w:t>
      </w:r>
    </w:p>
    <w:p w14:paraId="5A37DEEB" w14:textId="77777777" w:rsidR="009B3347" w:rsidRDefault="00000000" w:rsidP="00715663">
      <w:pPr>
        <w:pStyle w:val="Heading2"/>
        <w:spacing w:before="240" w:after="120"/>
        <w:jc w:val="both"/>
      </w:pPr>
      <w:r>
        <w:rPr>
          <w:b/>
          <w:bCs/>
        </w:rPr>
        <w:t>11.2 Non-Refundability</w:t>
      </w:r>
    </w:p>
    <w:p w14:paraId="2C6FD243" w14:textId="77777777" w:rsidR="009B3347" w:rsidRDefault="00000000" w:rsidP="00715663">
      <w:pPr>
        <w:spacing w:after="160"/>
        <w:jc w:val="both"/>
      </w:pPr>
      <w:r>
        <w:t>Assessment fees under Section 5.4 are non-refundable regardless of outcome.</w:t>
      </w:r>
    </w:p>
    <w:p w14:paraId="58E2159A" w14:textId="77777777" w:rsidR="009B3347" w:rsidRDefault="00000000" w:rsidP="00715663">
      <w:pPr>
        <w:pStyle w:val="Heading2"/>
        <w:spacing w:before="240" w:after="120"/>
        <w:jc w:val="both"/>
      </w:pPr>
      <w:r>
        <w:rPr>
          <w:b/>
          <w:bCs/>
        </w:rPr>
        <w:t>11.3 Use of Funds</w:t>
      </w:r>
    </w:p>
    <w:p w14:paraId="746396CC" w14:textId="77777777" w:rsidR="009B3347" w:rsidRDefault="00000000" w:rsidP="00715663">
      <w:pPr>
        <w:spacing w:after="160"/>
        <w:jc w:val="both"/>
      </w:pPr>
      <w:r>
        <w:t xml:space="preserve">Institute funds shall be used solely to further the purposes set forth in Section 1.2 and shall not inure to the private benefit of any Officer, Panelist, or other individual, except as reasonable compensation for services actually rendered.</w:t>
      </w:r>
    </w:p>
    <w:p w14:paraId="2B9D18DB" w14:textId="77777777" w:rsidR="009B3347" w:rsidRDefault="00000000" w:rsidP="00715663">
      <w:pPr>
        <w:pStyle w:val="Heading1"/>
        <w:spacing w:before="360" w:after="200"/>
        <w:jc w:val="both"/>
      </w:pPr>
      <w:bookmarkStart w:id="13" w:name="_Toc236135203"/>
      <w:r>
        <w:t>Article XII — Amendments</w:t>
      </w:r>
      <w:bookmarkEnd w:id="13"/>
    </w:p>
    <w:p w14:paraId="44CF5011" w14:textId="77777777" w:rsidR="009B3347" w:rsidRDefault="00000000" w:rsidP="00715663">
      <w:pPr>
        <w:pStyle w:val="Heading2"/>
        <w:spacing w:before="240" w:after="120"/>
        <w:jc w:val="both"/>
      </w:pPr>
      <w:r>
        <w:rPr>
          <w:b/>
          <w:bCs/>
        </w:rPr>
        <w:t>12.1 Procedure</w:t>
      </w:r>
    </w:p>
    <w:p w14:paraId="603F7317" w14:textId="77777777" w:rsidR="009B3347" w:rsidRDefault="00000000" w:rsidP="00715663">
      <w:pPr>
        <w:spacing w:after="160"/>
        <w:jc w:val="both"/>
      </w:pPr>
      <w:r>
        <w:t xml:space="preserve">These Bylaws may be amended by a two-thirds vote of the Officers then in office, provided that notice of the proposed amendment is given to all Officers not less than fourteen (14) days prior to the vote. Amendments to Article II Section 2.4 (Protection of the Fellow Grade), Article III (Fellow Eligibility Standard), Article IV (Review Panel), or Article VII (Conflicts of Interest) additionally require publication of the proposed change to all current Fellows not less than thirty (30) days prior to adoption.</w:t>
      </w:r>
    </w:p>
    <w:p w14:paraId="7D2F2E2A" w14:textId="77777777" w:rsidR="009B3347" w:rsidRDefault="00000000" w:rsidP="00715663">
      <w:pPr>
        <w:pStyle w:val="Heading1"/>
        <w:spacing w:before="360" w:after="200"/>
        <w:jc w:val="both"/>
      </w:pPr>
      <w:bookmarkStart w:id="14" w:name="_Toc236135204"/>
      <w:r>
        <w:t>Article XIII — Dissolution</w:t>
      </w:r>
      <w:bookmarkEnd w:id="14"/>
    </w:p>
    <w:p w14:paraId="160B0848" w14:textId="77777777" w:rsidR="009B3347" w:rsidRDefault="00000000" w:rsidP="00715663">
      <w:pPr>
        <w:pStyle w:val="Heading2"/>
        <w:spacing w:before="240" w:after="120"/>
        <w:jc w:val="both"/>
      </w:pPr>
      <w:r>
        <w:rPr>
          <w:b/>
          <w:bCs/>
        </w:rPr>
        <w:lastRenderedPageBreak/>
        <w:t>13.1 Procedure</w:t>
      </w:r>
    </w:p>
    <w:p w14:paraId="404971C5" w14:textId="77777777" w:rsidR="009B3347" w:rsidRDefault="00000000" w:rsidP="00715663">
      <w:pPr>
        <w:spacing w:after="160"/>
        <w:jc w:val="both"/>
      </w:pPr>
      <w:r>
        <w:t>Upon dissolution of the Institute, and after payment of all liabilities, remaining assets shall be distributed exclusively to one or more organizations qualifying as tax-exempt under the applicable provisions of the Internal Revenue Code, as determined by the Officers, and shall not inure to the benefit of any private individual.</w:t>
      </w:r>
    </w:p>
    <w:p w14:paraId="5C9E7492" w14:textId="77777777" w:rsidR="009B3347" w:rsidRDefault="00000000" w:rsidP="00715663">
      <w:pPr>
        <w:pStyle w:val="Heading1"/>
        <w:spacing w:before="360" w:after="200"/>
        <w:jc w:val="both"/>
      </w:pPr>
      <w:bookmarkStart w:id="15" w:name="_Toc236135205"/>
      <w:r>
        <w:t>Article XIV — Indemnification and Limitation of Liability</w:t>
      </w:r>
      <w:bookmarkEnd w:id="15"/>
    </w:p>
    <w:p w14:paraId="45EAF55B" w14:textId="77777777" w:rsidR="009B3347" w:rsidRDefault="00000000" w:rsidP="00715663">
      <w:pPr>
        <w:pStyle w:val="Heading2"/>
        <w:spacing w:before="240" w:after="120"/>
        <w:jc w:val="both"/>
      </w:pPr>
      <w:r>
        <w:rPr>
          <w:b/>
          <w:bCs/>
        </w:rPr>
        <w:t>14.1 Indemnification</w:t>
      </w:r>
    </w:p>
    <w:p w14:paraId="61D3889C" w14:textId="77777777" w:rsidR="009B3347" w:rsidRDefault="00000000" w:rsidP="00715663">
      <w:pPr>
        <w:spacing w:after="160"/>
        <w:jc w:val="both"/>
      </w:pPr>
      <w:r>
        <w:t>The Institute shall indemnify its Officers, Panelists, and authorized volunteers to the fullest extent permitted by applicable law for actions taken in good faith on behalf of the Institute.</w:t>
      </w:r>
    </w:p>
    <w:p w14:paraId="0B2CBFBD" w14:textId="77777777" w:rsidR="009B3347" w:rsidRDefault="00000000" w:rsidP="00715663">
      <w:pPr>
        <w:pStyle w:val="Heading2"/>
        <w:spacing w:before="240" w:after="120"/>
        <w:jc w:val="both"/>
      </w:pPr>
      <w:r>
        <w:rPr>
          <w:b/>
          <w:bCs/>
        </w:rPr>
        <w:t>14.2 Limitation of Liability</w:t>
      </w:r>
    </w:p>
    <w:p w14:paraId="4EC45AD3" w14:textId="77777777" w:rsidR="009B3347" w:rsidRDefault="00000000" w:rsidP="00715663">
      <w:pPr>
        <w:spacing w:after="160"/>
        <w:jc w:val="both"/>
      </w:pPr>
      <w:r>
        <w:t>To the fullest extent permitted by applicable law, no Officer or Panelist shall be personally liable to the Institute for monetary damages for breach of duty, except as applicable law otherwise requires.</w:t>
      </w:r>
    </w:p>
    <w:p w14:paraId="5DDD2E16" w14:textId="77777777" w:rsidR="009B3347" w:rsidRDefault="00000000" w:rsidP="00715663">
      <w:pPr>
        <w:pStyle w:val="Heading1"/>
        <w:spacing w:before="360" w:after="200"/>
        <w:jc w:val="both"/>
      </w:pPr>
      <w:bookmarkStart w:id="16" w:name="_Toc236135206"/>
      <w:r>
        <w:t>Article XV — General Provisions</w:t>
      </w:r>
      <w:bookmarkEnd w:id="16"/>
    </w:p>
    <w:p w14:paraId="093DEF3E" w14:textId="77777777" w:rsidR="009B3347" w:rsidRDefault="00000000" w:rsidP="00715663">
      <w:pPr>
        <w:pStyle w:val="Heading2"/>
        <w:spacing w:before="240" w:after="120"/>
        <w:jc w:val="both"/>
      </w:pPr>
      <w:r>
        <w:rPr>
          <w:b/>
          <w:bCs/>
        </w:rPr>
        <w:t>15.1 Governing Law</w:t>
      </w:r>
    </w:p>
    <w:p w14:paraId="280FCA8F" w14:textId="77777777" w:rsidR="009B3347" w:rsidRDefault="00000000" w:rsidP="00715663">
      <w:pPr>
        <w:spacing w:after="160"/>
        <w:jc w:val="both"/>
      </w:pPr>
      <w:r>
        <w:t>These Bylaws shall be governed by the laws of the State of North Carolina.</w:t>
      </w:r>
    </w:p>
    <w:p w14:paraId="00DA89CC" w14:textId="77777777" w:rsidR="009B3347" w:rsidRDefault="00000000" w:rsidP="00715663">
      <w:pPr>
        <w:pStyle w:val="Heading2"/>
        <w:spacing w:before="240" w:after="120"/>
        <w:jc w:val="both"/>
      </w:pPr>
      <w:r>
        <w:rPr>
          <w:b/>
          <w:bCs/>
        </w:rPr>
        <w:t>15.2 Severability</w:t>
      </w:r>
    </w:p>
    <w:p w14:paraId="5AE51347" w14:textId="77777777" w:rsidR="009B3347" w:rsidRDefault="00000000" w:rsidP="00715663">
      <w:pPr>
        <w:spacing w:after="160"/>
        <w:jc w:val="both"/>
      </w:pPr>
      <w:r>
        <w:t>If any provision of these Bylaws is held invalid, the remaining provisions shall continue in full force and effect.</w:t>
      </w:r>
    </w:p>
    <w:p w14:paraId="21215F2A" w14:textId="77777777" w:rsidR="009B3347" w:rsidRDefault="00000000" w:rsidP="00715663">
      <w:pPr>
        <w:pStyle w:val="Heading2"/>
        <w:spacing w:before="240" w:after="120"/>
        <w:jc w:val="both"/>
      </w:pPr>
      <w:r>
        <w:rPr>
          <w:b/>
          <w:bCs/>
        </w:rPr>
        <w:t>15.3 Effective Date</w:t>
      </w:r>
    </w:p>
    <w:p w14:paraId="184CA16E" w14:textId="77777777" w:rsidR="009B3347" w:rsidRDefault="00000000" w:rsidP="00715663">
      <w:pPr>
        <w:spacing w:after="160"/>
        <w:jc w:val="both"/>
      </w:pPr>
      <w:r>
        <w:t>These Bylaws take effect upon adoption by the initial Officers.</w:t>
      </w:r>
    </w:p>
    <w:sectPr w:rsidR="009B334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8D06E4A"/>
    <w:multiLevelType w:val="hybridMultilevel"/>
    <w:tmpl w:val="96560130"/>
    <w:lvl w:ilvl="0" w:tplc="11961E6C">
      <w:start w:val="1"/>
      <w:numFmt w:val="bullet"/>
      <w:lvlText w:val="●"/>
      <w:lvlJc w:val="left"/>
      <w:pPr>
        <w:ind w:left="720" w:hanging="360"/>
      </w:pPr>
    </w:lvl>
    <w:lvl w:ilvl="1" w:tplc="85EC0D8C">
      <w:start w:val="1"/>
      <w:numFmt w:val="bullet"/>
      <w:lvlText w:val="○"/>
      <w:lvlJc w:val="left"/>
      <w:pPr>
        <w:ind w:left="1440" w:hanging="360"/>
      </w:pPr>
    </w:lvl>
    <w:lvl w:ilvl="2" w:tplc="2EACC352">
      <w:start w:val="1"/>
      <w:numFmt w:val="bullet"/>
      <w:lvlText w:val="■"/>
      <w:lvlJc w:val="left"/>
      <w:pPr>
        <w:ind w:left="2160" w:hanging="360"/>
      </w:pPr>
    </w:lvl>
    <w:lvl w:ilvl="3" w:tplc="B5703EAC">
      <w:start w:val="1"/>
      <w:numFmt w:val="bullet"/>
      <w:lvlText w:val="●"/>
      <w:lvlJc w:val="left"/>
      <w:pPr>
        <w:ind w:left="2880" w:hanging="360"/>
      </w:pPr>
    </w:lvl>
    <w:lvl w:ilvl="4" w:tplc="B38A67A2">
      <w:start w:val="1"/>
      <w:numFmt w:val="bullet"/>
      <w:lvlText w:val="○"/>
      <w:lvlJc w:val="left"/>
      <w:pPr>
        <w:ind w:left="3600" w:hanging="360"/>
      </w:pPr>
    </w:lvl>
    <w:lvl w:ilvl="5" w:tplc="4FBA15C4">
      <w:start w:val="1"/>
      <w:numFmt w:val="bullet"/>
      <w:lvlText w:val="■"/>
      <w:lvlJc w:val="left"/>
      <w:pPr>
        <w:ind w:left="4320" w:hanging="360"/>
      </w:pPr>
    </w:lvl>
    <w:lvl w:ilvl="6" w:tplc="781C2774">
      <w:start w:val="1"/>
      <w:numFmt w:val="bullet"/>
      <w:lvlText w:val="●"/>
      <w:lvlJc w:val="left"/>
      <w:pPr>
        <w:ind w:left="5040" w:hanging="360"/>
      </w:pPr>
    </w:lvl>
    <w:lvl w:ilvl="7" w:tplc="0074C7C0">
      <w:start w:val="1"/>
      <w:numFmt w:val="bullet"/>
      <w:lvlText w:val="●"/>
      <w:lvlJc w:val="left"/>
      <w:pPr>
        <w:ind w:left="5760" w:hanging="360"/>
      </w:pPr>
    </w:lvl>
    <w:lvl w:ilvl="8" w:tplc="A66CE7EA">
      <w:start w:val="1"/>
      <w:numFmt w:val="bullet"/>
      <w:lvlText w:val="●"/>
      <w:lvlJc w:val="left"/>
      <w:pPr>
        <w:ind w:left="6480" w:hanging="360"/>
      </w:pPr>
    </w:lvl>
  </w:abstractNum>
  <w:num w:numId="1" w16cid:durableId="168181470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347"/>
    <w:rsid w:val="00265A9C"/>
    <w:rsid w:val="004A71AE"/>
    <w:rsid w:val="006F0441"/>
    <w:rsid w:val="00715663"/>
    <w:rsid w:val="007A00CA"/>
    <w:rsid w:val="009B3347"/>
    <w:rsid w:val="00BA6C3A"/>
    <w:rsid w:val="00C42380"/>
    <w:rsid w:val="00CE7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40BA44"/>
  <w15:docId w15:val="{9D6F0BBB-B85D-D847-9293-096661EB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71566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3156</Words>
  <Characters>17991</Characters>
  <Application>Microsoft Office Word</Application>
  <DocSecurity>0</DocSecurity>
  <Lines>149</Lines>
  <Paragraphs>42</Paragraphs>
  <ScaleCrop>false</ScaleCrop>
  <Company/>
  <LinksUpToDate>false</LinksUpToDate>
  <CharactersWithSpaces>21105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Jit</cp:lastModifiedBy>
  <cp:revision>7</cp:revision>
  <dcterms:created xsi:type="dcterms:W3CDTF">2026-07-28T16:37:00Z</dcterms:created>
  <dcterms:modified xsi:type="dcterms:W3CDTF">2026-08-10T20:03:00Z</dcterms:modified>
</cp:coreProperties>
</file>